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bCs/>
          <w:sz w:val="24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4"/>
          <w:szCs w:val="21"/>
        </w:rPr>
        <w:t>二氧化碳的主要理化及危险特性表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144"/>
        <w:gridCol w:w="509"/>
        <w:gridCol w:w="489"/>
        <w:gridCol w:w="245"/>
        <w:gridCol w:w="245"/>
        <w:gridCol w:w="233"/>
        <w:gridCol w:w="233"/>
        <w:gridCol w:w="289"/>
        <w:gridCol w:w="338"/>
        <w:gridCol w:w="339"/>
        <w:gridCol w:w="338"/>
        <w:gridCol w:w="339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中文名：二氧化碳；碳酸酐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英文名：carbon dioxide 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分子式：CO</w:t>
            </w:r>
            <w:r>
              <w:rPr>
                <w:rFonts w:hint="eastAsia" w:cs="Times New Roman"/>
                <w:sz w:val="21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相对分子质量：44.01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 w:val="21"/>
                <w:szCs w:val="24"/>
              </w:rPr>
              <w:t>CAS</w:t>
            </w:r>
            <w:r>
              <w:rPr>
                <w:rFonts w:hint="eastAsia" w:cs="Times New Roman"/>
                <w:sz w:val="21"/>
                <w:szCs w:val="24"/>
              </w:rPr>
              <w:t>号：124-38-9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结构式：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危险性类别：加压气体 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化学类别: 非金属氧化物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主要组成与性状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主要成分：纯品</w:t>
            </w:r>
          </w:p>
        </w:tc>
        <w:tc>
          <w:tcPr>
            <w:tcW w:w="0" w:type="auto"/>
            <w:gridSpan w:val="1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外观与性状：无色无臭气体。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主要用途：用于制糖工业、制碱工业、制铅白等，也用于冷饮、灭火及有机合成。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健康危害</w:t>
            </w: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侵入途径：吸入、食入、经皮吸收。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健康危害：在低浓度时，对呼吸中枢呈兴奋作用，高浓度时则产生抑制甚至麻痹作用。中毒机制中还兼有缺氧的因素。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急性中毒：人进入高浓度二氧化碳环境，在几秒钟内迅速昏迷倒下，反射消失、瞳孔扩大或缩小、大小便失禁、呕吐等，更严重者出现呼吸停止及休克，甚至死亡。固态（干冰）和液态二氧化碳在常压下迅速汽化，能造成-80~43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℃</w:t>
            </w:r>
            <w:r>
              <w:rPr>
                <w:rFonts w:hint="eastAsia" w:cs="Times New Roman"/>
                <w:sz w:val="21"/>
                <w:szCs w:val="24"/>
              </w:rPr>
              <w:t>低温，引起皮肤和眼睛严重的冻伤。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慢性影响：经常接触较高浓度的二氧化碳者，可有头晕、头痛、失眠、易兴奋、无力等神经功能紊乱等。但在生产中是否存在慢性中毒国内外均未见病例报道。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急救措施</w:t>
            </w:r>
          </w:p>
        </w:tc>
        <w:tc>
          <w:tcPr>
            <w:tcW w:w="0" w:type="auto"/>
            <w:gridSpan w:val="5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皮肤接触：若有冻伤，就医治疗。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眼睛接触：若有冻伤，就医治疗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吸入：迅速脱离现场至空气新鲜处。保持呼吸道通畅。如呼吸困难，给输氧。如呼吸停止，立即进行人工呼吸。就医。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5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食入：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燃爆特性与消防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燃烧性：不燃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闪点（℃）：无意义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爆炸下限（%）：无意义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爆炸上限（%）：无意义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引燃温度（℃）：无意义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最小点火能（</w:t>
            </w:r>
            <w:r>
              <w:rPr>
                <w:rFonts w:cs="Times New Roman"/>
                <w:sz w:val="21"/>
                <w:szCs w:val="24"/>
              </w:rPr>
              <w:t>m</w:t>
            </w:r>
            <w:r>
              <w:rPr>
                <w:rFonts w:hint="eastAsia" w:cs="Times New Roman"/>
                <w:sz w:val="21"/>
                <w:szCs w:val="24"/>
              </w:rPr>
              <w:t>J）</w:t>
            </w:r>
            <w:r>
              <w:rPr>
                <w:rFonts w:cs="Times New Roman"/>
                <w:sz w:val="21"/>
                <w:szCs w:val="24"/>
              </w:rPr>
              <w:t>：</w:t>
            </w:r>
            <w:r>
              <w:rPr>
                <w:rFonts w:hint="eastAsia" w:cs="Times New Roman"/>
                <w:sz w:val="21"/>
                <w:szCs w:val="24"/>
              </w:rPr>
              <w:t>无意义</w:t>
            </w:r>
          </w:p>
        </w:tc>
        <w:tc>
          <w:tcPr>
            <w:tcW w:w="0" w:type="auto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最大爆炸压力（MP</w:t>
            </w:r>
            <w:r>
              <w:rPr>
                <w:rFonts w:cs="Times New Roman"/>
                <w:sz w:val="21"/>
                <w:szCs w:val="24"/>
              </w:rPr>
              <w:t>a</w:t>
            </w:r>
            <w:r>
              <w:rPr>
                <w:rFonts w:hint="eastAsia" w:cs="Times New Roman"/>
                <w:sz w:val="21"/>
                <w:szCs w:val="24"/>
              </w:rPr>
              <w:t>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灭火方法：本品不燃，尽可能将容器从火场移至空旷处。喷水保持火场容器冷却，直至灭火结束。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泄漏应急处理：迅速撤离泄漏污染区人员至上风处，并进行隔离，严格限制出入。建议应急处理人员戴自给正压式呼吸器，穿一般作业工作服。尽可能切断泄漏源。合理通风，加速扩散。漏气容器要妥善处理，修复，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操作处置及注意事项：密闭操作，提供充良好的自然通风条件。操作人员必须经过专门培训，严格遵守操作规程。防止蒸气泄漏到工作场所空气中。远离易燃、可燃物。搬运时要轻装轻卸，防止钢瓶及附件破损。配备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储运注意事项：储存于阴凉、通风的库房。远离火种、热源。库温不宜超过30℃。应与易燃或可燃物分开存放，切忌混储。储区应备有泄漏应急处理设备。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施</w:t>
            </w:r>
          </w:p>
        </w:tc>
        <w:tc>
          <w:tcPr>
            <w:tcW w:w="0" w:type="auto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车间卫生标准：中  国</w:t>
            </w:r>
            <w:r>
              <w:rPr>
                <w:rFonts w:cs="Times New Roman"/>
                <w:sz w:val="21"/>
                <w:szCs w:val="24"/>
              </w:rPr>
              <w:t>MAC(mg/m</w:t>
            </w:r>
            <w:r>
              <w:rPr>
                <w:rFonts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cs="Times New Roman"/>
                <w:sz w:val="21"/>
                <w:szCs w:val="24"/>
              </w:rPr>
              <w:t>)</w:t>
            </w:r>
            <w:r>
              <w:rPr>
                <w:rFonts w:hint="eastAsia" w:cs="Times New Roman"/>
                <w:sz w:val="21"/>
                <w:szCs w:val="24"/>
              </w:rPr>
              <w:t xml:space="preserve"> ：未制定标准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                    PC-TWA ：9000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                    PC-STEL ：18000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前苏联</w:t>
            </w:r>
            <w:r>
              <w:rPr>
                <w:rFonts w:cs="Times New Roman"/>
                <w:sz w:val="21"/>
                <w:szCs w:val="24"/>
              </w:rPr>
              <w:t>MAC(mg/m</w:t>
            </w:r>
            <w:r>
              <w:rPr>
                <w:rFonts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cs="Times New Roman"/>
                <w:sz w:val="21"/>
                <w:szCs w:val="24"/>
              </w:rPr>
              <w:t>)</w:t>
            </w:r>
            <w:r>
              <w:rPr>
                <w:rFonts w:hint="eastAsia" w:cs="Times New Roman"/>
                <w:sz w:val="21"/>
                <w:szCs w:val="24"/>
              </w:rPr>
              <w:t xml:space="preserve"> ：未制定标准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美国 TVL-TWA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     OSHA 5000ppm , 9000mg/m</w:t>
            </w:r>
            <w:r>
              <w:rPr>
                <w:rFonts w:hint="eastAsia" w:cs="Times New Roman"/>
                <w:sz w:val="21"/>
                <w:szCs w:val="24"/>
                <w:vertAlign w:val="superscript"/>
              </w:rPr>
              <w:t>3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     ACGIH 5000ppm , 9000mg/m</w:t>
            </w:r>
            <w:r>
              <w:rPr>
                <w:rFonts w:hint="eastAsia" w:cs="Times New Roman"/>
                <w:sz w:val="21"/>
                <w:szCs w:val="24"/>
                <w:vertAlign w:val="superscript"/>
              </w:rPr>
              <w:t>3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美国 TLV-STEL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     ACGIH 30000ppm , 54000mg/m</w:t>
            </w:r>
            <w:r>
              <w:rPr>
                <w:rFonts w:hint="eastAsia" w:cs="Times New Roman"/>
                <w:sz w:val="21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检测方法： 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工程控制：密闭操作，提供良好的自然通风条件。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施</w:t>
            </w:r>
          </w:p>
        </w:tc>
        <w:tc>
          <w:tcPr>
            <w:tcW w:w="0" w:type="auto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呼吸系统防护：一般不需要特殊防护，高浓度接触时可佩戴空气呼吸器。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眼睛防护：一般不需要特殊防护。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身体防护：穿一般作业工作服。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手防护：戴一般作业防护手套。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其它：避免高浓度吸入。进入罐、限制性空间或其它高浓度区作业，须有人监护。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熔点（℃）：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-56.6（527kpa）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沸点（℃）：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-78.5（升华）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相对密度（水=1）：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1.56（-79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℃</w:t>
            </w:r>
            <w:r>
              <w:rPr>
                <w:rFonts w:hint="eastAsia" w:cs="Times New Roman"/>
                <w:sz w:val="21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相对密度（空气=1）：1.53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饱和蒸气压（</w:t>
            </w:r>
            <w:r>
              <w:rPr>
                <w:rFonts w:cs="Times New Roman"/>
                <w:sz w:val="21"/>
                <w:szCs w:val="24"/>
              </w:rPr>
              <w:t>k</w:t>
            </w:r>
            <w:r>
              <w:rPr>
                <w:rFonts w:hint="eastAsia" w:cs="Times New Roman"/>
                <w:sz w:val="21"/>
                <w:szCs w:val="24"/>
              </w:rPr>
              <w:t>P</w:t>
            </w:r>
            <w:r>
              <w:rPr>
                <w:rFonts w:cs="Times New Roman"/>
                <w:sz w:val="21"/>
                <w:szCs w:val="24"/>
              </w:rPr>
              <w:t>a</w:t>
            </w:r>
            <w:r>
              <w:rPr>
                <w:rFonts w:hint="eastAsia" w:cs="Times New Roman"/>
                <w:sz w:val="21"/>
                <w:szCs w:val="24"/>
              </w:rPr>
              <w:t>）:1013.25（-39℃）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辛醇/水分配系数的对数值：无资料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燃烧热（kJ/</w:t>
            </w:r>
            <w:r>
              <w:rPr>
                <w:rFonts w:cs="Times New Roman"/>
                <w:sz w:val="21"/>
                <w:szCs w:val="24"/>
              </w:rPr>
              <w:t>mol</w:t>
            </w:r>
            <w:r>
              <w:rPr>
                <w:rFonts w:hint="eastAsia" w:cs="Times New Roman"/>
                <w:sz w:val="21"/>
                <w:szCs w:val="24"/>
              </w:rPr>
              <w:t>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临界温度（℃）：31</w:t>
            </w:r>
          </w:p>
        </w:tc>
        <w:tc>
          <w:tcPr>
            <w:tcW w:w="0" w:type="auto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临界压力</w:t>
            </w:r>
            <w:r>
              <w:rPr>
                <w:rFonts w:cs="Times New Roman"/>
                <w:sz w:val="21"/>
                <w:szCs w:val="24"/>
              </w:rPr>
              <w:t>(</w:t>
            </w:r>
            <w:r>
              <w:rPr>
                <w:rFonts w:hint="eastAsia" w:cs="Times New Roman"/>
                <w:sz w:val="21"/>
                <w:szCs w:val="24"/>
              </w:rPr>
              <w:t xml:space="preserve"> </w:t>
            </w:r>
            <w:r>
              <w:rPr>
                <w:rFonts w:cs="Times New Roman"/>
                <w:sz w:val="21"/>
                <w:szCs w:val="24"/>
              </w:rPr>
              <w:t>MPa)</w:t>
            </w:r>
            <w:r>
              <w:rPr>
                <w:rFonts w:hint="eastAsia" w:cs="Times New Roman"/>
                <w:sz w:val="21"/>
                <w:szCs w:val="24"/>
              </w:rPr>
              <w:t>：7.39</w:t>
            </w:r>
          </w:p>
        </w:tc>
        <w:tc>
          <w:tcPr>
            <w:tcW w:w="0" w:type="auto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溶解性 ：溶于水、烃类等多数有机溶剂。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稳定性和反应活性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稳定性：稳定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聚合危害：不聚合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避免接触的条件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禁忌物：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燃烧（分解）产物：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毒理学资料</w:t>
            </w: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急性毒性：LD</w:t>
            </w:r>
            <w:r>
              <w:rPr>
                <w:rFonts w:hint="eastAsia"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hint="eastAsia" w:cs="Times New Roman"/>
                <w:sz w:val="21"/>
                <w:szCs w:val="24"/>
              </w:rPr>
              <w:t xml:space="preserve"> ：无资料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          LC</w:t>
            </w:r>
            <w:r>
              <w:rPr>
                <w:rFonts w:hint="eastAsia" w:cs="Times New Roman"/>
                <w:sz w:val="21"/>
                <w:szCs w:val="24"/>
                <w:vertAlign w:val="subscript"/>
              </w:rPr>
              <w:t xml:space="preserve">50 </w:t>
            </w:r>
            <w:r>
              <w:rPr>
                <w:rFonts w:hint="eastAsia" w:cs="Times New Roman"/>
                <w:sz w:val="21"/>
                <w:szCs w:val="24"/>
              </w:rPr>
              <w:t>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致突变性： 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 xml:space="preserve">生殖毒性：  </w:t>
            </w:r>
          </w:p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其他有害作用：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环境资料</w:t>
            </w: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该物质对环境有影响。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废弃</w:t>
            </w: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处置前应参阅国家和地方有关法规。废气直接排入大气。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运输信息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危险化学品目录序号：</w:t>
            </w:r>
            <w:r>
              <w:rPr>
                <w:rFonts w:cs="Times New Roman"/>
                <w:sz w:val="21"/>
                <w:szCs w:val="24"/>
              </w:rPr>
              <w:t>642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UN编号：1013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包装分类：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Ⅲ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包装标志：不燃气体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包装方法：钢质气瓶。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</w:rPr>
              <w:t>运输注意事项：采用钢瓶运输时必须戴好钢瓶上的安全帽。钢瓶一般平放，并应将瓶口朝同一方向，不可交叉；高度不得超过车辆的防护拦板，并用三角木垫卡牢，防止滚动。严禁与易燃物或可燃物等混装混运。夏季应早晚运输，防日光曝晒。铁路运输时要禁止溜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56216"/>
    <w:rsid w:val="3F0F3738"/>
    <w:rsid w:val="445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2021-03-10T09:09:00Z</dcterms:created>
  <dc:creator>louchunhui</dc:creator>
  <cp:lastModifiedBy>louchunhui</cp:lastModifiedBy>
  <dcterms:modified xsi:type="dcterms:W3CDTF">2021-03-10T09:14:13Z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