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bCs/>
          <w:sz w:val="24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24"/>
          <w:szCs w:val="21"/>
        </w:rPr>
        <w:t>氮[压缩的</w:t>
      </w:r>
      <w:r>
        <w:rPr>
          <w:rFonts w:ascii="黑体" w:hAnsi="黑体" w:eastAsia="黑体"/>
          <w:b/>
          <w:bCs/>
          <w:sz w:val="24"/>
          <w:szCs w:val="21"/>
        </w:rPr>
        <w:t>]</w:t>
      </w:r>
      <w:r>
        <w:rPr>
          <w:rFonts w:hint="eastAsia" w:ascii="黑体" w:hAnsi="黑体" w:eastAsia="黑体"/>
          <w:b/>
          <w:bCs/>
          <w:sz w:val="24"/>
          <w:szCs w:val="21"/>
        </w:rPr>
        <w:t>的主要理化及危险特性表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37"/>
        <w:gridCol w:w="228"/>
        <w:gridCol w:w="81"/>
        <w:gridCol w:w="40"/>
        <w:gridCol w:w="386"/>
        <w:gridCol w:w="60"/>
        <w:gridCol w:w="678"/>
        <w:gridCol w:w="202"/>
        <w:gridCol w:w="8"/>
        <w:gridCol w:w="57"/>
        <w:gridCol w:w="341"/>
        <w:gridCol w:w="117"/>
        <w:gridCol w:w="109"/>
        <w:gridCol w:w="213"/>
        <w:gridCol w:w="207"/>
        <w:gridCol w:w="342"/>
        <w:gridCol w:w="939"/>
        <w:gridCol w:w="106"/>
        <w:gridCol w:w="272"/>
        <w:gridCol w:w="6"/>
        <w:gridCol w:w="292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识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中文名：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氮；氮气</w:t>
            </w:r>
          </w:p>
        </w:tc>
        <w:tc>
          <w:tcPr>
            <w:tcW w:w="2418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英文名：</w:t>
            </w:r>
            <w:r>
              <w:rPr>
                <w:rFonts w:ascii="宋体" w:hAnsi="宋体" w:cs="Times New Roman"/>
                <w:sz w:val="21"/>
                <w:szCs w:val="24"/>
              </w:rPr>
              <w:t>nitrogen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分子式：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N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2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相对分子质量：</w:t>
            </w:r>
            <w:r>
              <w:rPr>
                <w:rFonts w:ascii="宋体" w:hAnsi="宋体" w:cs="Times New Roman"/>
                <w:sz w:val="21"/>
                <w:szCs w:val="24"/>
              </w:rPr>
              <w:t>28.01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06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CAS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号：</w:t>
            </w:r>
            <w:r>
              <w:rPr>
                <w:rFonts w:ascii="宋体" w:hAnsi="宋体" w:cs="Times New Roman"/>
                <w:sz w:val="21"/>
                <w:szCs w:val="24"/>
              </w:rPr>
              <w:t>7727-37-9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结构式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：  </w:t>
            </w:r>
          </w:p>
        </w:tc>
        <w:tc>
          <w:tcPr>
            <w:tcW w:w="2535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危险性类别：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加压气体</w:t>
            </w:r>
          </w:p>
        </w:tc>
        <w:tc>
          <w:tcPr>
            <w:tcW w:w="2646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化学类别：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非金属单质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主要组成与性状</w:t>
            </w:r>
          </w:p>
        </w:tc>
        <w:tc>
          <w:tcPr>
            <w:tcW w:w="4357" w:type="dxa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主要成分：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含量 高纯氮≥</w:t>
            </w:r>
            <w:r>
              <w:rPr>
                <w:rFonts w:ascii="宋体" w:hAnsi="宋体" w:cs="Times New Roman"/>
                <w:sz w:val="21"/>
                <w:szCs w:val="24"/>
              </w:rPr>
              <w:t>99.999%;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工业级 一级≥</w:t>
            </w:r>
            <w:r>
              <w:rPr>
                <w:rFonts w:ascii="宋体" w:hAnsi="宋体" w:cs="Times New Roman"/>
                <w:sz w:val="21"/>
                <w:szCs w:val="24"/>
              </w:rPr>
              <w:t>99.5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%；二级≥</w:t>
            </w:r>
            <w:r>
              <w:rPr>
                <w:rFonts w:ascii="宋体" w:hAnsi="宋体" w:cs="Times New Roman"/>
                <w:sz w:val="21"/>
                <w:szCs w:val="24"/>
              </w:rPr>
              <w:t>98.5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%</w:t>
            </w:r>
          </w:p>
        </w:tc>
        <w:tc>
          <w:tcPr>
            <w:tcW w:w="4134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外观与性状：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主要用途：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用于合成氨，制硝酸，用作物质保护剂、冷冻剂。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健康危害</w:t>
            </w: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侵入途径：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吸入、食入、经皮吸收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健康危害：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空气中氮气含量过高，使吸入气氧分压下降，引起缺氧窒息。吸入氮气浓度不太高时，患者最初感胸闷、气短、疲软无力；继而有烦躁不安、极度兴奋、乱跑、叫喊、神情恍惚、步态不稳，称之为“氮酩酊”，可进入昏睡或昏迷状态。吸入高浓度，患者可迅速出现昏迷、呼吸心跳停止而致死亡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潜水员深潜时，可发生氮的麻醉作用；若从高压环境下过快转入常压环境，体内会形成氮气气泡，压迫神经、血管或造成血管阻塞，发生“减压病”。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急救措施</w:t>
            </w:r>
          </w:p>
        </w:tc>
        <w:tc>
          <w:tcPr>
            <w:tcW w:w="3577" w:type="dxa"/>
            <w:gridSpan w:val="10"/>
            <w:vMerge w:val="restart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皮肤接触：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眼睛接触：</w:t>
            </w:r>
          </w:p>
        </w:tc>
        <w:tc>
          <w:tcPr>
            <w:tcW w:w="4914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吸入：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迅速脱离现场至空气新鲜处。保持呼吸道通畅。如呼吸困难，给输氧。呼吸心跳停止时，立即进行人工呼吸和胸外心脏按压术。就医。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3577" w:type="dxa"/>
            <w:gridSpan w:val="10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</w:p>
        </w:tc>
        <w:tc>
          <w:tcPr>
            <w:tcW w:w="4914" w:type="dxa"/>
            <w:gridSpan w:val="1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食入：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燃爆特性与消防</w:t>
            </w:r>
          </w:p>
        </w:tc>
        <w:tc>
          <w:tcPr>
            <w:tcW w:w="1837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燃烧性：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不燃</w:t>
            </w:r>
          </w:p>
        </w:tc>
        <w:tc>
          <w:tcPr>
            <w:tcW w:w="2081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闪点（℃）：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  <w:tc>
          <w:tcPr>
            <w:tcW w:w="2603" w:type="dxa"/>
            <w:gridSpan w:val="1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爆炸下限（%）：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爆炸上限（%）：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  <w:tc>
          <w:tcPr>
            <w:tcW w:w="197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引燃温度（℃）：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3512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最小点火能（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m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J）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  <w:tc>
          <w:tcPr>
            <w:tcW w:w="4979" w:type="dxa"/>
            <w:gridSpan w:val="1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最大爆炸压力（MP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a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）：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危险特性：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灭火方法：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本品不燃。尽可能将容器从火场移至空旷处。喷水保持火场容器冷却，直至灭火结束。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泄漏应急行动：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迅速撤离泄漏污染区人员至上风处，并进行隔离，严格限制出入。建议应急处理人员戴自给正压式呼吸器，穿一般作业工作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储运注意事项：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不燃性压缩气体。储存于阴凉、通风仓间内。仓温不宜超过30℃。远离火种、热源。防止阳光直射。验收时要注意品名，注意验瓶日期，先进仓的先发用。搬运时轻装轻卸，防止钢瓶及附件破损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施</w:t>
            </w:r>
          </w:p>
        </w:tc>
        <w:tc>
          <w:tcPr>
            <w:tcW w:w="8491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车间卫生标准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：中国MAC（mg/m</w:t>
            </w:r>
            <w:r>
              <w:rPr>
                <w:rFonts w:hint="eastAsia" w:ascii="宋体" w:hAnsi="宋体"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）：未制定标准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前苏联MAC（mg/m</w:t>
            </w:r>
            <w:r>
              <w:rPr>
                <w:rFonts w:hint="eastAsia" w:ascii="宋体" w:hAnsi="宋体" w:cs="Times New Roman"/>
                <w:sz w:val="21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）：未制定标准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美  国TVL-TWA  ACGIH 窒息性气体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美  国TLV-STEL   未制定标准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3520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检测方法：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</w:t>
            </w:r>
          </w:p>
        </w:tc>
        <w:tc>
          <w:tcPr>
            <w:tcW w:w="4971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工程控制：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密闭操作。提供良好的自然通风条件。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防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护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措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施</w:t>
            </w:r>
          </w:p>
        </w:tc>
        <w:tc>
          <w:tcPr>
            <w:tcW w:w="8491" w:type="dxa"/>
            <w:gridSpan w:val="2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呼吸系统防护：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一般不需特殊防护。当作业场所空气中氧气浓度低于18%时，必须佩戴空气呼吸器、氧气呼吸器或长管面具。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眼睛防护：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一般不需要特殊防护。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身体防护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：穿一般作业工作服。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手防护：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戴一般作业防护手套。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其它：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质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熔点（℃）：</w:t>
            </w:r>
            <w:r>
              <w:rPr>
                <w:rFonts w:ascii="宋体" w:hAnsi="宋体" w:cs="Times New Roman"/>
                <w:sz w:val="21"/>
                <w:szCs w:val="24"/>
              </w:rPr>
              <w:t>-209.8</w:t>
            </w:r>
          </w:p>
        </w:tc>
        <w:tc>
          <w:tcPr>
            <w:tcW w:w="1958" w:type="dxa"/>
            <w:gridSpan w:val="9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沸点（℃）：</w:t>
            </w:r>
            <w:r>
              <w:rPr>
                <w:rFonts w:ascii="宋体" w:hAnsi="宋体" w:cs="Times New Roman"/>
                <w:sz w:val="21"/>
                <w:szCs w:val="24"/>
              </w:rPr>
              <w:t>-195.6</w:t>
            </w:r>
          </w:p>
        </w:tc>
        <w:tc>
          <w:tcPr>
            <w:tcW w:w="2079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相对密度（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水=1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ascii="宋体" w:hAnsi="宋体" w:cs="Times New Roman"/>
                <w:sz w:val="21"/>
                <w:szCs w:val="24"/>
              </w:rPr>
              <w:t>0.81(-196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℃</w:t>
            </w:r>
            <w:r>
              <w:rPr>
                <w:rFonts w:ascii="宋体" w:hAnsi="宋体" w:cs="Times New Roman"/>
                <w:sz w:val="21"/>
                <w:szCs w:val="24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相对密度（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空气=1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）：</w:t>
            </w:r>
            <w:r>
              <w:rPr>
                <w:rFonts w:ascii="宋体" w:hAnsi="宋体" w:cs="Times New Roman"/>
                <w:sz w:val="21"/>
                <w:szCs w:val="24"/>
              </w:rPr>
              <w:t>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63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饱和蒸气压（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k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P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a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）：</w:t>
            </w:r>
            <w:r>
              <w:rPr>
                <w:rFonts w:ascii="宋体" w:hAnsi="宋体" w:cs="Times New Roman"/>
                <w:sz w:val="21"/>
                <w:szCs w:val="24"/>
              </w:rPr>
              <w:t>1026.42(-173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℃</w:t>
            </w:r>
            <w:r>
              <w:rPr>
                <w:rFonts w:ascii="宋体" w:hAnsi="宋体" w:cs="Times New Roman"/>
                <w:sz w:val="21"/>
                <w:szCs w:val="24"/>
              </w:rPr>
              <w:t>)</w:t>
            </w:r>
          </w:p>
        </w:tc>
        <w:tc>
          <w:tcPr>
            <w:tcW w:w="3591" w:type="dxa"/>
            <w:gridSpan w:val="1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辛醇/水分配系数的对数值：</w:t>
            </w:r>
            <w:r>
              <w:rPr>
                <w:rFonts w:ascii="宋体" w:hAnsi="宋体" w:cs="Times New Roman"/>
                <w:sz w:val="21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无资料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燃烧热（kJ/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mol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）：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218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临界温度（℃）</w:t>
            </w:r>
            <w:r>
              <w:rPr>
                <w:rFonts w:ascii="宋体" w:hAnsi="宋体" w:cs="Times New Roman"/>
                <w:sz w:val="21"/>
                <w:szCs w:val="24"/>
              </w:rPr>
              <w:t>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-147</w:t>
            </w:r>
          </w:p>
        </w:tc>
        <w:tc>
          <w:tcPr>
            <w:tcW w:w="272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临界压力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(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MPa)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3</w:t>
            </w:r>
            <w:r>
              <w:rPr>
                <w:rFonts w:ascii="宋体" w:hAnsi="宋体" w:cs="Times New Roman"/>
                <w:sz w:val="21"/>
                <w:szCs w:val="24"/>
              </w:rPr>
              <w:t>.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40</w:t>
            </w:r>
          </w:p>
        </w:tc>
        <w:tc>
          <w:tcPr>
            <w:tcW w:w="132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折射率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</w:t>
            </w:r>
          </w:p>
        </w:tc>
        <w:tc>
          <w:tcPr>
            <w:tcW w:w="22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溶解性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：微溶于水、乙醇。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稳定性和反应活性</w:t>
            </w:r>
          </w:p>
        </w:tc>
        <w:tc>
          <w:tcPr>
            <w:tcW w:w="2572" w:type="dxa"/>
            <w:gridSpan w:val="5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稳定性：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稳定</w:t>
            </w:r>
          </w:p>
        </w:tc>
        <w:tc>
          <w:tcPr>
            <w:tcW w:w="5919" w:type="dxa"/>
            <w:gridSpan w:val="17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聚合危害：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不聚合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避免接触的条件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禁忌物：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燃烧（分解）产物：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氮气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毒理学资料</w:t>
            </w: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急性毒性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：LD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：无资料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LC</w:t>
            </w:r>
            <w:r>
              <w:rPr>
                <w:rFonts w:hint="eastAsia" w:ascii="宋体" w:hAnsi="宋体" w:cs="Times New Roman"/>
                <w:sz w:val="21"/>
                <w:szCs w:val="24"/>
                <w:vertAlign w:val="subscript"/>
              </w:rPr>
              <w:t>50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：无资料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刺激性：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 xml:space="preserve">亚急性和慢性毒性：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致突变性：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生殖毒性：</w:t>
            </w:r>
          </w:p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致癌性：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环境资料</w:t>
            </w: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对环境无害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废弃</w:t>
            </w: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sz w:val="21"/>
                <w:szCs w:val="24"/>
              </w:rPr>
              <w:t>处置前应参阅国家和地方的有关法规。废气直接排入大气。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运输信息</w:t>
            </w:r>
          </w:p>
        </w:tc>
        <w:tc>
          <w:tcPr>
            <w:tcW w:w="2186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危险化学品目录序号：</w:t>
            </w:r>
            <w:r>
              <w:rPr>
                <w:rFonts w:ascii="宋体" w:hAnsi="宋体" w:cs="Times New Roman"/>
                <w:b/>
                <w:bCs/>
                <w:sz w:val="21"/>
                <w:szCs w:val="24"/>
              </w:rPr>
              <w:t>172</w:t>
            </w:r>
          </w:p>
        </w:tc>
        <w:tc>
          <w:tcPr>
            <w:tcW w:w="1849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UN编号：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1066</w:t>
            </w:r>
          </w:p>
        </w:tc>
        <w:tc>
          <w:tcPr>
            <w:tcW w:w="1916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包装分类：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Ⅲ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包装标志：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Times New Roman"/>
                <w:b/>
                <w:bCs/>
                <w:sz w:val="21"/>
                <w:szCs w:val="24"/>
              </w:rPr>
            </w:pPr>
          </w:p>
        </w:tc>
        <w:tc>
          <w:tcPr>
            <w:tcW w:w="8491" w:type="dxa"/>
            <w:gridSpan w:val="22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cs="Times New Roman"/>
                <w:sz w:val="21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4"/>
              </w:rPr>
              <w:t>包装方法：</w:t>
            </w:r>
            <w:r>
              <w:rPr>
                <w:rFonts w:hint="eastAsia" w:ascii="宋体" w:hAnsi="宋体" w:cs="Times New Roman"/>
                <w:sz w:val="21"/>
                <w:szCs w:val="24"/>
              </w:rPr>
              <w:t>钢质气瓶；安瓿瓶外普通木箱。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C1C4C"/>
    <w:rsid w:val="42A636DD"/>
    <w:rsid w:val="51C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2021-03-10T09:08:00Z</dcterms:created>
  <dc:creator>louchunhui</dc:creator>
  <cp:lastModifiedBy>louchunhui</cp:lastModifiedBy>
  <dcterms:modified xsi:type="dcterms:W3CDTF">2021-03-10T09:14:03Z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