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82582912"/>
      <w:r>
        <w:rPr>
          <w:rFonts w:hint="eastAsia"/>
          <w:lang w:val="en-US" w:eastAsia="zh-CN"/>
        </w:rPr>
        <w:t>(</w:t>
      </w:r>
      <w:r>
        <w:rPr>
          <w:rFonts w:ascii="宋体" w:hAnsi="宋体"/>
        </w:rPr>
        <w:t>76</w:t>
      </w:r>
      <w:r>
        <w:rPr>
          <w:rFonts w:hint="eastAsia" w:ascii="宋体" w:hAnsi="宋体"/>
        </w:rPr>
        <w:t>81－52－9</w:t>
      </w:r>
      <w:r>
        <w:rPr>
          <w:rFonts w:hint="eastAsia"/>
          <w:lang w:val="en-US" w:eastAsia="zh-CN"/>
        </w:rPr>
        <w:t>)</w:t>
      </w:r>
      <w:r>
        <w:rPr>
          <w:rFonts w:hint="eastAsia"/>
        </w:rPr>
        <w:t>次氯</w:t>
      </w:r>
      <w:bookmarkStart w:id="1" w:name="_GoBack"/>
      <w:bookmarkEnd w:id="1"/>
      <w:r>
        <w:rPr>
          <w:rFonts w:hint="eastAsia"/>
        </w:rPr>
        <w:t>酸钠溶液的的理化及危险特性表</w:t>
      </w:r>
      <w:bookmarkEnd w:id="0"/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852"/>
        <w:gridCol w:w="21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中文名：次氯酸钠溶液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sodium hypochlorite 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NaClO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分子量：74.44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UN编号：1791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危险类别：第8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3类； 其它腐蚀品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危化品名录编号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166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ascii="宋体" w:hAnsi="宋体"/>
              </w:rPr>
              <w:t>76</w:t>
            </w:r>
            <w:r>
              <w:rPr>
                <w:rFonts w:hint="eastAsia" w:ascii="宋体" w:hAnsi="宋体"/>
              </w:rPr>
              <w:t>81－52－9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包装标志：腐蚀品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包装类别：Ⅲ类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外观与性状：微黄色溶液，有似氯气的气味。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熔点（℃）：- 6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沸点（℃）：102.2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相对密度（水＝1）  1.1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饱和蒸气压（kPa）  无资料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临界温度（℃） —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不燃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稳定性： 不稳定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燃烧分解产物：氯化物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避免接触的条件：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禁忌物：碱类。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危险特性：受高执分解产生有毒的腐蚀性烟气。具有腐蚀性。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灭火方法：     灭火剂：雾状水、二氧化碳、砂土。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3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：8500mg/kg（小鼠经口）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侵入途经：吸入、食入。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经常用手接触本品的工人，手掌大量出汗，指甲变薄，毛发脱落。本品有致敏作用。本品放出游离氯有可能引起中毒。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接触：脱去被污染的衣着，用大量流动清水冲洗。·眼睛接触：提起眼睑，用流动清水或生理盐水冲洗。就医。·吸入：迅速脱离现场至空气新鲜处。保持呼吸道通畅。如呼吸困难，给输氧。如呼吸停止，立即进行人工呼吸，就医。食入：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控制：生产过程密闭，全面通风。提供安全淋浴和洗眼设备·呼吸系统防护：高浓度环境中，应该佩戴直接式防毒面具（半面罩）。·眼睛防护：戴化学安全防护眼镜。·身体防护：穿防腐工作服。·手防护：戴橡胶手套。·其他：工作场所禁止吸烟，进食、饮水和饭前要洗手。工作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迅速撤离泄漏污染区人员至安全区，并进行隔离，严格限制出入。建议应急处理人员戴自给正压式呼吸器，穿一般作业工作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存于阴凉、干燥、通风良好的库房。远离火种、热源。防止阳光直射。应与还原剂、易燃或可燃物、酸类等分开存放。不可混储混运。搬运时要轻装轻卸，防止包装及容器损坏。分装和搬运作业要注意个人防护。运输按规定路线行驶。勿在居民区和人口稠密区停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7756B"/>
    <w:rsid w:val="1FAA3296"/>
    <w:rsid w:val="2167756B"/>
    <w:rsid w:val="5FC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/>
      <w:b/>
      <w:bCs/>
      <w:kern w:val="44"/>
      <w:sz w:val="2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2021-03-16T05:26:00Z</dcterms:created>
  <dc:creator>louchunhui</dc:creator>
  <cp:lastModifiedBy>louchunhui</cp:lastModifiedBy>
  <dcterms:modified xsi:type="dcterms:W3CDTF">2021-03-16T05:48:12Z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