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0" w:type="dxa"/>
        <w:tblCellMar>
          <w:left w:w="0" w:type="dxa"/>
          <w:right w:w="0" w:type="dxa"/>
        </w:tblCellMar>
        <w:tblLook w:val="04A0" w:firstRow="1" w:lastRow="0" w:firstColumn="1" w:lastColumn="0" w:noHBand="0" w:noVBand="1"/>
      </w:tblPr>
      <w:tblGrid>
        <w:gridCol w:w="1831"/>
        <w:gridCol w:w="6750"/>
      </w:tblGrid>
      <w:tr w:rsidR="004F3EBC" w:rsidRPr="004F3EBC" w:rsidTr="004F3EBC">
        <w:trPr>
          <w:tblCellSpacing w:w="0" w:type="dxa"/>
          <w:jc w:val="center"/>
        </w:trPr>
        <w:tc>
          <w:tcPr>
            <w:tcW w:w="0" w:type="auto"/>
            <w:gridSpan w:val="2"/>
            <w:tcBorders>
              <w:bottom w:val="dotted" w:sz="6" w:space="0" w:color="CCCCCC"/>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名　　称:</w:t>
            </w:r>
            <w:r w:rsidRPr="004F3EBC">
              <w:rPr>
                <w:rFonts w:ascii="宋体" w:eastAsia="宋体" w:hAnsi="宋体" w:cs="宋体" w:hint="eastAsia"/>
                <w:color w:val="666666"/>
                <w:kern w:val="0"/>
                <w:sz w:val="18"/>
                <w:szCs w:val="18"/>
              </w:rPr>
              <w:t xml:space="preserve"> 交通运输部办公厅关于印发《危险货物港口作业重大事故隐患判定指南》的通知</w:t>
            </w:r>
          </w:p>
        </w:tc>
      </w:tr>
      <w:tr w:rsidR="004F3EBC" w:rsidRPr="004F3EBC" w:rsidTr="004F3EBC">
        <w:trPr>
          <w:tblCellSpacing w:w="0" w:type="dxa"/>
          <w:jc w:val="center"/>
        </w:trPr>
        <w:tc>
          <w:tcPr>
            <w:tcW w:w="0" w:type="auto"/>
            <w:tcBorders>
              <w:bottom w:val="dotted" w:sz="6" w:space="0" w:color="CCCCCC"/>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文　　号：</w:t>
            </w:r>
            <w:r w:rsidRPr="004F3EBC">
              <w:rPr>
                <w:rFonts w:ascii="宋体" w:eastAsia="宋体" w:hAnsi="宋体" w:cs="宋体" w:hint="eastAsia"/>
                <w:color w:val="666666"/>
                <w:kern w:val="0"/>
                <w:sz w:val="18"/>
                <w:szCs w:val="18"/>
              </w:rPr>
              <w:t>交办水〔2016〕178号</w:t>
            </w:r>
          </w:p>
        </w:tc>
        <w:tc>
          <w:tcPr>
            <w:tcW w:w="6750" w:type="dxa"/>
            <w:tcBorders>
              <w:bottom w:val="dotted" w:sz="6" w:space="0" w:color="CCCCCC"/>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发布机构：</w:t>
            </w:r>
            <w:proofErr w:type="gramStart"/>
            <w:r w:rsidRPr="004F3EBC">
              <w:rPr>
                <w:rFonts w:ascii="宋体" w:eastAsia="宋体" w:hAnsi="宋体" w:cs="宋体" w:hint="eastAsia"/>
                <w:color w:val="666666"/>
                <w:kern w:val="0"/>
                <w:sz w:val="18"/>
                <w:szCs w:val="18"/>
              </w:rPr>
              <w:t>水运局</w:t>
            </w:r>
            <w:proofErr w:type="gramEnd"/>
          </w:p>
        </w:tc>
      </w:tr>
      <w:tr w:rsidR="004F3EBC" w:rsidRPr="004F3EBC" w:rsidTr="004F3EBC">
        <w:trPr>
          <w:tblCellSpacing w:w="0" w:type="dxa"/>
          <w:jc w:val="center"/>
        </w:trPr>
        <w:tc>
          <w:tcPr>
            <w:tcW w:w="0" w:type="auto"/>
            <w:tcBorders>
              <w:bottom w:val="dotted" w:sz="6" w:space="0" w:color="CCCCCC"/>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发文日期：</w:t>
            </w:r>
            <w:r w:rsidRPr="004F3EBC">
              <w:rPr>
                <w:rFonts w:ascii="宋体" w:eastAsia="宋体" w:hAnsi="宋体" w:cs="宋体" w:hint="eastAsia"/>
                <w:color w:val="666666"/>
                <w:kern w:val="0"/>
                <w:sz w:val="18"/>
                <w:szCs w:val="18"/>
              </w:rPr>
              <w:t>2016年12月22日</w:t>
            </w:r>
          </w:p>
        </w:tc>
        <w:tc>
          <w:tcPr>
            <w:tcW w:w="0" w:type="auto"/>
            <w:tcBorders>
              <w:bottom w:val="dotted" w:sz="6" w:space="0" w:color="CCCCCC"/>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主题分类：</w:t>
            </w:r>
            <w:r w:rsidRPr="004F3EBC">
              <w:rPr>
                <w:rFonts w:ascii="宋体" w:eastAsia="宋体" w:hAnsi="宋体" w:cs="宋体" w:hint="eastAsia"/>
                <w:color w:val="666666"/>
                <w:kern w:val="0"/>
                <w:sz w:val="18"/>
                <w:szCs w:val="18"/>
              </w:rPr>
              <w:t>安全生产</w:t>
            </w:r>
          </w:p>
        </w:tc>
      </w:tr>
      <w:tr w:rsidR="004F3EBC" w:rsidRPr="004F3EBC" w:rsidTr="004F3EBC">
        <w:trPr>
          <w:tblCellSpacing w:w="0" w:type="dxa"/>
          <w:jc w:val="center"/>
        </w:trPr>
        <w:tc>
          <w:tcPr>
            <w:tcW w:w="0" w:type="auto"/>
            <w:tcBorders>
              <w:bottom w:val="nil"/>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索 引 号：</w:t>
            </w:r>
            <w:r w:rsidRPr="004F3EBC">
              <w:rPr>
                <w:rFonts w:ascii="宋体" w:eastAsia="宋体" w:hAnsi="宋体" w:cs="宋体" w:hint="eastAsia"/>
                <w:color w:val="666666"/>
                <w:kern w:val="0"/>
                <w:sz w:val="18"/>
                <w:szCs w:val="18"/>
              </w:rPr>
              <w:t>2016-01190</w:t>
            </w:r>
          </w:p>
        </w:tc>
        <w:tc>
          <w:tcPr>
            <w:tcW w:w="0" w:type="auto"/>
            <w:tcBorders>
              <w:bottom w:val="nil"/>
            </w:tcBorders>
            <w:tcMar>
              <w:top w:w="75" w:type="dxa"/>
              <w:left w:w="225" w:type="dxa"/>
              <w:bottom w:w="75" w:type="dxa"/>
              <w:right w:w="225" w:type="dxa"/>
            </w:tcMar>
            <w:vAlign w:val="center"/>
            <w:hideMark/>
          </w:tcPr>
          <w:p w:rsidR="004F3EBC" w:rsidRPr="004F3EBC" w:rsidRDefault="004F3EBC" w:rsidP="004F3EBC">
            <w:pPr>
              <w:widowControl/>
              <w:jc w:val="left"/>
              <w:rPr>
                <w:rFonts w:ascii="宋体" w:eastAsia="宋体" w:hAnsi="宋体" w:cs="宋体"/>
                <w:color w:val="666666"/>
                <w:kern w:val="0"/>
                <w:sz w:val="18"/>
                <w:szCs w:val="18"/>
              </w:rPr>
            </w:pPr>
            <w:r w:rsidRPr="004F3EBC">
              <w:rPr>
                <w:rFonts w:ascii="黑体" w:eastAsia="黑体" w:hAnsi="黑体" w:cs="宋体" w:hint="eastAsia"/>
                <w:color w:val="000000"/>
                <w:kern w:val="0"/>
                <w:szCs w:val="21"/>
              </w:rPr>
              <w:t>主 题 词：</w:t>
            </w:r>
            <w:r w:rsidRPr="004F3EBC">
              <w:rPr>
                <w:rFonts w:ascii="宋体" w:eastAsia="宋体" w:hAnsi="宋体" w:cs="宋体" w:hint="eastAsia"/>
                <w:color w:val="666666"/>
                <w:kern w:val="0"/>
                <w:sz w:val="18"/>
                <w:szCs w:val="18"/>
              </w:rPr>
              <w:t>危险货物港口作业重大事故隐患判定指南</w:t>
            </w:r>
          </w:p>
        </w:tc>
      </w:tr>
    </w:tbl>
    <w:p w:rsidR="004F3EBC" w:rsidRPr="004F3EBC" w:rsidRDefault="004F3EBC" w:rsidP="004F3EBC">
      <w:pPr>
        <w:widowControl/>
        <w:shd w:val="clear" w:color="auto" w:fill="FFFFFF"/>
        <w:spacing w:line="450" w:lineRule="atLeast"/>
        <w:jc w:val="center"/>
        <w:rPr>
          <w:rFonts w:ascii="黑体" w:eastAsia="黑体" w:hAnsi="黑体" w:cs="宋体"/>
          <w:color w:val="333333"/>
          <w:kern w:val="0"/>
          <w:sz w:val="30"/>
          <w:szCs w:val="30"/>
        </w:rPr>
      </w:pPr>
      <w:r w:rsidRPr="004F3EBC">
        <w:rPr>
          <w:rFonts w:ascii="黑体" w:eastAsia="黑体" w:hAnsi="黑体" w:cs="宋体" w:hint="eastAsia"/>
          <w:color w:val="333333"/>
          <w:kern w:val="0"/>
          <w:sz w:val="30"/>
          <w:szCs w:val="30"/>
        </w:rPr>
        <w:t>交通运输部办公厅关于印发《危险货物港口作业重大事故隐患判定指南》的通知</w:t>
      </w:r>
    </w:p>
    <w:p w:rsidR="004F3EBC" w:rsidRPr="004F3EBC" w:rsidRDefault="004F3EBC" w:rsidP="004F3EBC">
      <w:pPr>
        <w:widowControl/>
        <w:shd w:val="clear" w:color="auto" w:fill="FFFFFF"/>
        <w:spacing w:line="420" w:lineRule="atLeast"/>
        <w:jc w:val="left"/>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 xml:space="preserve">各省、自治区、直辖市交通运输厅（委）： </w:t>
      </w:r>
      <w:r w:rsidRPr="004F3EBC">
        <w:rPr>
          <w:rFonts w:ascii="宋体" w:eastAsia="宋体" w:hAnsi="宋体" w:cs="宋体" w:hint="eastAsia"/>
          <w:color w:val="333333"/>
          <w:kern w:val="0"/>
          <w:szCs w:val="21"/>
        </w:rPr>
        <w:br/>
        <w:t xml:space="preserve">　　为指导各地排查治理危险货物港口作业重大事故隐患，根据《港口法》《安全生产法》《危险化学品安全管理条例》等有关法律法规和相关国家、行业标准，我部组织编制了《危险货物港口作业重大事故隐患判定指南》，现予印发。使用中如遇重要情况,请及时向部</w:t>
      </w:r>
      <w:proofErr w:type="gramStart"/>
      <w:r w:rsidRPr="004F3EBC">
        <w:rPr>
          <w:rFonts w:ascii="宋体" w:eastAsia="宋体" w:hAnsi="宋体" w:cs="宋体" w:hint="eastAsia"/>
          <w:color w:val="333333"/>
          <w:kern w:val="0"/>
          <w:szCs w:val="21"/>
        </w:rPr>
        <w:t>水运局</w:t>
      </w:r>
      <w:proofErr w:type="gramEnd"/>
      <w:r w:rsidRPr="004F3EBC">
        <w:rPr>
          <w:rFonts w:ascii="宋体" w:eastAsia="宋体" w:hAnsi="宋体" w:cs="宋体" w:hint="eastAsia"/>
          <w:color w:val="333333"/>
          <w:kern w:val="0"/>
          <w:szCs w:val="21"/>
        </w:rPr>
        <w:t>反映。</w:t>
      </w:r>
    </w:p>
    <w:p w:rsidR="004F3EBC" w:rsidRPr="004F3EBC" w:rsidRDefault="004F3EBC" w:rsidP="004F3EBC">
      <w:pPr>
        <w:widowControl/>
        <w:shd w:val="clear" w:color="auto" w:fill="FFFFFF"/>
        <w:spacing w:line="420" w:lineRule="atLeast"/>
        <w:jc w:val="right"/>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 xml:space="preserve">交通运输部办公厅 </w:t>
      </w:r>
      <w:r w:rsidRPr="004F3EBC">
        <w:rPr>
          <w:rFonts w:ascii="宋体" w:eastAsia="宋体" w:hAnsi="宋体" w:cs="宋体" w:hint="eastAsia"/>
          <w:color w:val="333333"/>
          <w:kern w:val="0"/>
          <w:szCs w:val="21"/>
        </w:rPr>
        <w:br/>
        <w:t>2016年12月19日</w:t>
      </w:r>
    </w:p>
    <w:p w:rsidR="004F3EBC" w:rsidRPr="004F3EBC" w:rsidRDefault="004F3EBC" w:rsidP="004F3EBC">
      <w:pPr>
        <w:widowControl/>
        <w:shd w:val="clear" w:color="auto" w:fill="FFFFFF"/>
        <w:spacing w:line="420" w:lineRule="atLeast"/>
        <w:jc w:val="left"/>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 xml:space="preserve">　　（此件公开发布）</w:t>
      </w:r>
    </w:p>
    <w:p w:rsidR="004F3EBC" w:rsidRPr="004F3EBC" w:rsidRDefault="004F3EBC" w:rsidP="004F3EBC">
      <w:pPr>
        <w:widowControl/>
        <w:shd w:val="clear" w:color="auto" w:fill="FFFFFF"/>
        <w:spacing w:line="420" w:lineRule="atLeast"/>
        <w:jc w:val="left"/>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 xml:space="preserve">　　抄送：各省、自治区、直辖市港口行政管理部门，中国港口协会，部长航局、珠航局、水科院、</w:t>
      </w:r>
      <w:proofErr w:type="gramStart"/>
      <w:r w:rsidRPr="004F3EBC">
        <w:rPr>
          <w:rFonts w:ascii="宋体" w:eastAsia="宋体" w:hAnsi="宋体" w:cs="宋体" w:hint="eastAsia"/>
          <w:color w:val="333333"/>
          <w:kern w:val="0"/>
          <w:szCs w:val="21"/>
        </w:rPr>
        <w:t>天科院</w:t>
      </w:r>
      <w:proofErr w:type="gramEnd"/>
      <w:r w:rsidRPr="004F3EBC">
        <w:rPr>
          <w:rFonts w:ascii="宋体" w:eastAsia="宋体" w:hAnsi="宋体" w:cs="宋体" w:hint="eastAsia"/>
          <w:color w:val="333333"/>
          <w:kern w:val="0"/>
          <w:szCs w:val="21"/>
        </w:rPr>
        <w:t>、职业资格中心，</w:t>
      </w:r>
      <w:proofErr w:type="gramStart"/>
      <w:r w:rsidRPr="004F3EBC">
        <w:rPr>
          <w:rFonts w:ascii="宋体" w:eastAsia="宋体" w:hAnsi="宋体" w:cs="宋体" w:hint="eastAsia"/>
          <w:color w:val="333333"/>
          <w:kern w:val="0"/>
          <w:szCs w:val="21"/>
        </w:rPr>
        <w:t>部安质司</w:t>
      </w:r>
      <w:proofErr w:type="gramEnd"/>
      <w:r w:rsidRPr="004F3EBC">
        <w:rPr>
          <w:rFonts w:ascii="宋体" w:eastAsia="宋体" w:hAnsi="宋体" w:cs="宋体" w:hint="eastAsia"/>
          <w:color w:val="333333"/>
          <w:kern w:val="0"/>
          <w:szCs w:val="21"/>
        </w:rPr>
        <w:t>、科技司、公安局、海事局。</w:t>
      </w:r>
    </w:p>
    <w:p w:rsidR="004F3EBC" w:rsidRPr="004F3EBC" w:rsidRDefault="004F3EBC" w:rsidP="004F3EBC">
      <w:pPr>
        <w:widowControl/>
        <w:shd w:val="clear" w:color="auto" w:fill="FFFFFF"/>
        <w:spacing w:line="420" w:lineRule="atLeast"/>
        <w:jc w:val="center"/>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危险货物港口作业重大事故隐患判定指南</w:t>
      </w:r>
    </w:p>
    <w:p w:rsidR="004F3EBC" w:rsidRPr="004F3EBC" w:rsidRDefault="004F3EBC" w:rsidP="004F3EBC">
      <w:pPr>
        <w:widowControl/>
        <w:shd w:val="clear" w:color="auto" w:fill="FFFFFF"/>
        <w:spacing w:line="420" w:lineRule="atLeast"/>
        <w:jc w:val="left"/>
        <w:rPr>
          <w:rFonts w:ascii="宋体" w:eastAsia="宋体" w:hAnsi="宋体" w:cs="宋体" w:hint="eastAsia"/>
          <w:color w:val="333333"/>
          <w:kern w:val="0"/>
          <w:szCs w:val="21"/>
        </w:rPr>
      </w:pPr>
      <w:r w:rsidRPr="004F3EBC">
        <w:rPr>
          <w:rFonts w:ascii="宋体" w:eastAsia="宋体" w:hAnsi="宋体" w:cs="宋体" w:hint="eastAsia"/>
          <w:color w:val="333333"/>
          <w:kern w:val="0"/>
          <w:szCs w:val="21"/>
        </w:rPr>
        <w:t xml:space="preserve">　　第一条 为了准确判定、及时消除危险货物港口作业重大事故隐患(以下简称重大事故隐患)，根据《安全生产法》《港口法》《危险化学品安全管理条例》《港口经营管理规定》《港口危险货物安全管理规定》等法律、法规、规章和交通运输部有关隐患治理的规定，制定本指南。 </w:t>
      </w:r>
      <w:r w:rsidRPr="004F3EBC">
        <w:rPr>
          <w:rFonts w:ascii="宋体" w:eastAsia="宋体" w:hAnsi="宋体" w:cs="宋体" w:hint="eastAsia"/>
          <w:color w:val="333333"/>
          <w:kern w:val="0"/>
          <w:szCs w:val="21"/>
        </w:rPr>
        <w:br/>
        <w:t xml:space="preserve">　　第二条 本指南适用港口区域内危险货物作业，用于指导危险货物港口经营人和港口行政管理部门判定各类危险货物港口作业重大事故隐患。 </w:t>
      </w:r>
      <w:r w:rsidRPr="004F3EBC">
        <w:rPr>
          <w:rFonts w:ascii="宋体" w:eastAsia="宋体" w:hAnsi="宋体" w:cs="宋体" w:hint="eastAsia"/>
          <w:color w:val="333333"/>
          <w:kern w:val="0"/>
          <w:szCs w:val="21"/>
        </w:rPr>
        <w:br/>
        <w:t xml:space="preserve">　　第三条 危险货物港口作业重大事故隐患包括以下5个方面： </w:t>
      </w:r>
      <w:r w:rsidRPr="004F3EBC">
        <w:rPr>
          <w:rFonts w:ascii="宋体" w:eastAsia="宋体" w:hAnsi="宋体" w:cs="宋体" w:hint="eastAsia"/>
          <w:color w:val="333333"/>
          <w:kern w:val="0"/>
          <w:szCs w:val="21"/>
        </w:rPr>
        <w:br/>
        <w:t xml:space="preserve">　　（一）存在超范围、超能力、超期限作业情况，或者危险货物存放不符合安全要求的； </w:t>
      </w:r>
      <w:r w:rsidRPr="004F3EBC">
        <w:rPr>
          <w:rFonts w:ascii="宋体" w:eastAsia="宋体" w:hAnsi="宋体" w:cs="宋体" w:hint="eastAsia"/>
          <w:color w:val="333333"/>
          <w:kern w:val="0"/>
          <w:szCs w:val="21"/>
        </w:rPr>
        <w:br/>
        <w:t xml:space="preserve">　　（二）危险货物作业工艺设备设施不满足危险货物的危险有害特性的安全防范要求，或者不能正常运行的； </w:t>
      </w:r>
      <w:r w:rsidRPr="004F3EBC">
        <w:rPr>
          <w:rFonts w:ascii="宋体" w:eastAsia="宋体" w:hAnsi="宋体" w:cs="宋体" w:hint="eastAsia"/>
          <w:color w:val="333333"/>
          <w:kern w:val="0"/>
          <w:szCs w:val="21"/>
        </w:rPr>
        <w:br/>
        <w:t xml:space="preserve">　　（三）危险货物作业场所的安全设施、应急设备的配备不能满足要求，或者不能正常运行、使用的； </w:t>
      </w:r>
      <w:r w:rsidRPr="004F3EBC">
        <w:rPr>
          <w:rFonts w:ascii="宋体" w:eastAsia="宋体" w:hAnsi="宋体" w:cs="宋体" w:hint="eastAsia"/>
          <w:color w:val="333333"/>
          <w:kern w:val="0"/>
          <w:szCs w:val="21"/>
        </w:rPr>
        <w:br/>
      </w:r>
      <w:r w:rsidRPr="004F3EBC">
        <w:rPr>
          <w:rFonts w:ascii="宋体" w:eastAsia="宋体" w:hAnsi="宋体" w:cs="宋体" w:hint="eastAsia"/>
          <w:color w:val="333333"/>
          <w:kern w:val="0"/>
          <w:szCs w:val="21"/>
        </w:rPr>
        <w:lastRenderedPageBreak/>
        <w:t xml:space="preserve">　　（四）危险货物作业场所或装卸储运设备设施的安全距离（间距）不符合规定的； </w:t>
      </w:r>
      <w:r w:rsidRPr="004F3EBC">
        <w:rPr>
          <w:rFonts w:ascii="宋体" w:eastAsia="宋体" w:hAnsi="宋体" w:cs="宋体" w:hint="eastAsia"/>
          <w:color w:val="333333"/>
          <w:kern w:val="0"/>
          <w:szCs w:val="21"/>
        </w:rPr>
        <w:br/>
        <w:t xml:space="preserve">　　（五）安全管理存在重大缺陷的。 </w:t>
      </w:r>
      <w:r w:rsidRPr="004F3EBC">
        <w:rPr>
          <w:rFonts w:ascii="宋体" w:eastAsia="宋体" w:hAnsi="宋体" w:cs="宋体" w:hint="eastAsia"/>
          <w:color w:val="333333"/>
          <w:kern w:val="0"/>
          <w:szCs w:val="21"/>
        </w:rPr>
        <w:br/>
        <w:t xml:space="preserve">　　第四条 “存在超范围、超能力、超期限作业情况，或者危险货物存放不符合安全要求的”重大事故隐患，是指有下列情形之一的： </w:t>
      </w:r>
      <w:r w:rsidRPr="004F3EBC">
        <w:rPr>
          <w:rFonts w:ascii="宋体" w:eastAsia="宋体" w:hAnsi="宋体" w:cs="宋体" w:hint="eastAsia"/>
          <w:color w:val="333333"/>
          <w:kern w:val="0"/>
          <w:szCs w:val="21"/>
        </w:rPr>
        <w:br/>
        <w:t xml:space="preserve">　　（一）超出《港口经营许可证》《港口危险货物作业附证》许可范围和有效期从事危险货物作业的； </w:t>
      </w:r>
      <w:r w:rsidRPr="004F3EBC">
        <w:rPr>
          <w:rFonts w:ascii="宋体" w:eastAsia="宋体" w:hAnsi="宋体" w:cs="宋体" w:hint="eastAsia"/>
          <w:color w:val="333333"/>
          <w:kern w:val="0"/>
          <w:szCs w:val="21"/>
        </w:rPr>
        <w:br/>
        <w:t xml:space="preserve">　　（二）仓储设施（堆场、仓库、储罐，下同）超设计能力、超容量储存危险货物，或者储罐未按规定检验、检测评估的； </w:t>
      </w:r>
      <w:r w:rsidRPr="004F3EBC">
        <w:rPr>
          <w:rFonts w:ascii="宋体" w:eastAsia="宋体" w:hAnsi="宋体" w:cs="宋体" w:hint="eastAsia"/>
          <w:color w:val="333333"/>
          <w:kern w:val="0"/>
          <w:szCs w:val="21"/>
        </w:rPr>
        <w:br/>
        <w:t xml:space="preserve">　　（三）储罐超温、超压、</w:t>
      </w:r>
      <w:proofErr w:type="gramStart"/>
      <w:r w:rsidRPr="004F3EBC">
        <w:rPr>
          <w:rFonts w:ascii="宋体" w:eastAsia="宋体" w:hAnsi="宋体" w:cs="宋体" w:hint="eastAsia"/>
          <w:color w:val="333333"/>
          <w:kern w:val="0"/>
          <w:szCs w:val="21"/>
        </w:rPr>
        <w:t>超液位</w:t>
      </w:r>
      <w:proofErr w:type="gramEnd"/>
      <w:r w:rsidRPr="004F3EBC">
        <w:rPr>
          <w:rFonts w:ascii="宋体" w:eastAsia="宋体" w:hAnsi="宋体" w:cs="宋体" w:hint="eastAsia"/>
          <w:color w:val="333333"/>
          <w:kern w:val="0"/>
          <w:szCs w:val="21"/>
        </w:rPr>
        <w:t xml:space="preserve">储存，管道超温、超压、超流速输送，危险货物港口作业重要设备设施超负荷运行的； </w:t>
      </w:r>
      <w:r w:rsidRPr="004F3EBC">
        <w:rPr>
          <w:rFonts w:ascii="宋体" w:eastAsia="宋体" w:hAnsi="宋体" w:cs="宋体" w:hint="eastAsia"/>
          <w:color w:val="333333"/>
          <w:kern w:val="0"/>
          <w:szCs w:val="21"/>
        </w:rPr>
        <w:br/>
        <w:t xml:space="preserve">　　（四）危险货物港口作业相关设备</w:t>
      </w:r>
      <w:proofErr w:type="gramStart"/>
      <w:r w:rsidRPr="004F3EBC">
        <w:rPr>
          <w:rFonts w:ascii="宋体" w:eastAsia="宋体" w:hAnsi="宋体" w:cs="宋体" w:hint="eastAsia"/>
          <w:color w:val="333333"/>
          <w:kern w:val="0"/>
          <w:szCs w:val="21"/>
        </w:rPr>
        <w:t>设施超</w:t>
      </w:r>
      <w:proofErr w:type="gramEnd"/>
      <w:r w:rsidRPr="004F3EBC">
        <w:rPr>
          <w:rFonts w:ascii="宋体" w:eastAsia="宋体" w:hAnsi="宋体" w:cs="宋体" w:hint="eastAsia"/>
          <w:color w:val="333333"/>
          <w:kern w:val="0"/>
          <w:szCs w:val="21"/>
        </w:rPr>
        <w:t xml:space="preserve">期限服役且无法出具检测或检验合格证明、无法满足安全生产要求的； </w:t>
      </w:r>
      <w:r w:rsidRPr="004F3EBC">
        <w:rPr>
          <w:rFonts w:ascii="宋体" w:eastAsia="宋体" w:hAnsi="宋体" w:cs="宋体" w:hint="eastAsia"/>
          <w:color w:val="333333"/>
          <w:kern w:val="0"/>
          <w:szCs w:val="21"/>
        </w:rPr>
        <w:br/>
        <w:t xml:space="preserve">　　（五）装载《危险货物品名表》（GB12268）和《国际海运危险货物规则》规定的1.1项、1.2项爆炸品和硝酸铵类物质的危险货物集装箱未按照规定</w:t>
      </w:r>
      <w:proofErr w:type="gramStart"/>
      <w:r w:rsidRPr="004F3EBC">
        <w:rPr>
          <w:rFonts w:ascii="宋体" w:eastAsia="宋体" w:hAnsi="宋体" w:cs="宋体" w:hint="eastAsia"/>
          <w:color w:val="333333"/>
          <w:kern w:val="0"/>
          <w:szCs w:val="21"/>
        </w:rPr>
        <w:t>实行直装直取</w:t>
      </w:r>
      <w:proofErr w:type="gramEnd"/>
      <w:r w:rsidRPr="004F3EBC">
        <w:rPr>
          <w:rFonts w:ascii="宋体" w:eastAsia="宋体" w:hAnsi="宋体" w:cs="宋体" w:hint="eastAsia"/>
          <w:color w:val="333333"/>
          <w:kern w:val="0"/>
          <w:szCs w:val="21"/>
        </w:rPr>
        <w:t xml:space="preserve">作业的； </w:t>
      </w:r>
      <w:r w:rsidRPr="004F3EBC">
        <w:rPr>
          <w:rFonts w:ascii="宋体" w:eastAsia="宋体" w:hAnsi="宋体" w:cs="宋体" w:hint="eastAsia"/>
          <w:color w:val="333333"/>
          <w:kern w:val="0"/>
          <w:szCs w:val="21"/>
        </w:rPr>
        <w:br/>
        <w:t xml:space="preserve">　　（六）装载《危险货物品名表》（GB12268）和《国际海运危险货物规则》规定的1类爆炸品（除1.1项、1.2项以外）、2类气体和7类放射性物质的危险货物集装箱超时、超量等违规存放的； </w:t>
      </w:r>
      <w:r w:rsidRPr="004F3EBC">
        <w:rPr>
          <w:rFonts w:ascii="宋体" w:eastAsia="宋体" w:hAnsi="宋体" w:cs="宋体" w:hint="eastAsia"/>
          <w:color w:val="333333"/>
          <w:kern w:val="0"/>
          <w:szCs w:val="21"/>
        </w:rPr>
        <w:br/>
        <w:t xml:space="preserve">　　（七）危险货物未根据理化特性和灭火方式分区、分类和分库储存隔离，或者储存隔离间距不符合规定，或者存在禁忌物违规混存情况的。 </w:t>
      </w:r>
      <w:r w:rsidRPr="004F3EBC">
        <w:rPr>
          <w:rFonts w:ascii="宋体" w:eastAsia="宋体" w:hAnsi="宋体" w:cs="宋体" w:hint="eastAsia"/>
          <w:color w:val="333333"/>
          <w:kern w:val="0"/>
          <w:szCs w:val="21"/>
        </w:rPr>
        <w:br/>
        <w:t xml:space="preserve">　　第五条 “危险货物作业工艺设备设施不满足危险货物的危险有害特性的安全防范要求，或者不能正常运行的”重大事故隐患，是指有下列情形之一的： </w:t>
      </w:r>
      <w:r w:rsidRPr="004F3EBC">
        <w:rPr>
          <w:rFonts w:ascii="宋体" w:eastAsia="宋体" w:hAnsi="宋体" w:cs="宋体" w:hint="eastAsia"/>
          <w:color w:val="333333"/>
          <w:kern w:val="0"/>
          <w:szCs w:val="21"/>
        </w:rPr>
        <w:br/>
        <w:t xml:space="preserve">　　（一）装卸甲、乙类火灾危险性货物的码头，未按《海港总体设计规范》（JTS165）等规定设置快速</w:t>
      </w:r>
      <w:proofErr w:type="gramStart"/>
      <w:r w:rsidRPr="004F3EBC">
        <w:rPr>
          <w:rFonts w:ascii="宋体" w:eastAsia="宋体" w:hAnsi="宋体" w:cs="宋体" w:hint="eastAsia"/>
          <w:color w:val="333333"/>
          <w:kern w:val="0"/>
          <w:szCs w:val="21"/>
        </w:rPr>
        <w:t>脱缆钩</w:t>
      </w:r>
      <w:proofErr w:type="gramEnd"/>
      <w:r w:rsidRPr="004F3EBC">
        <w:rPr>
          <w:rFonts w:ascii="宋体" w:eastAsia="宋体" w:hAnsi="宋体" w:cs="宋体" w:hint="eastAsia"/>
          <w:color w:val="333333"/>
          <w:kern w:val="0"/>
          <w:szCs w:val="21"/>
        </w:rPr>
        <w:t xml:space="preserve">、靠泊辅助系统、缆绳张力监测系统和作业环境监测系统，或者不能正常运行的； </w:t>
      </w:r>
      <w:r w:rsidRPr="004F3EBC">
        <w:rPr>
          <w:rFonts w:ascii="宋体" w:eastAsia="宋体" w:hAnsi="宋体" w:cs="宋体" w:hint="eastAsia"/>
          <w:color w:val="333333"/>
          <w:kern w:val="0"/>
          <w:szCs w:val="21"/>
        </w:rPr>
        <w:br/>
        <w:t xml:space="preserve">　　（二）液体散货码头装卸设备与管道未</w:t>
      </w:r>
      <w:proofErr w:type="gramStart"/>
      <w:r w:rsidRPr="004F3EBC">
        <w:rPr>
          <w:rFonts w:ascii="宋体" w:eastAsia="宋体" w:hAnsi="宋体" w:cs="宋体" w:hint="eastAsia"/>
          <w:color w:val="333333"/>
          <w:kern w:val="0"/>
          <w:szCs w:val="21"/>
        </w:rPr>
        <w:t>按装卸及检修</w:t>
      </w:r>
      <w:proofErr w:type="gramEnd"/>
      <w:r w:rsidRPr="004F3EBC">
        <w:rPr>
          <w:rFonts w:ascii="宋体" w:eastAsia="宋体" w:hAnsi="宋体" w:cs="宋体" w:hint="eastAsia"/>
          <w:color w:val="333333"/>
          <w:kern w:val="0"/>
          <w:szCs w:val="21"/>
        </w:rPr>
        <w:t xml:space="preserve">要求设置排空系统，或者不能正常运行的；吹扫介质的选用不满足安全要求的； </w:t>
      </w:r>
      <w:r w:rsidRPr="004F3EBC">
        <w:rPr>
          <w:rFonts w:ascii="宋体" w:eastAsia="宋体" w:hAnsi="宋体" w:cs="宋体" w:hint="eastAsia"/>
          <w:color w:val="333333"/>
          <w:kern w:val="0"/>
          <w:szCs w:val="21"/>
        </w:rPr>
        <w:br/>
        <w:t xml:space="preserve">　　（三）对可能产生超压的工艺管道系统未按规定设置压力检测和安全泄放装置，或者不能正常运行的； </w:t>
      </w:r>
      <w:r w:rsidRPr="004F3EBC">
        <w:rPr>
          <w:rFonts w:ascii="宋体" w:eastAsia="宋体" w:hAnsi="宋体" w:cs="宋体" w:hint="eastAsia"/>
          <w:color w:val="333333"/>
          <w:kern w:val="0"/>
          <w:szCs w:val="21"/>
        </w:rPr>
        <w:br/>
        <w:t xml:space="preserve">　　（四）储罐未根据储存危险货物的危险有害特性要求，采取氮气密封保护系统、添加抗氧化剂或阻聚剂、保温储存等特殊安全措施的； </w:t>
      </w:r>
      <w:r w:rsidRPr="004F3EBC">
        <w:rPr>
          <w:rFonts w:ascii="宋体" w:eastAsia="宋体" w:hAnsi="宋体" w:cs="宋体" w:hint="eastAsia"/>
          <w:color w:val="333333"/>
          <w:kern w:val="0"/>
          <w:szCs w:val="21"/>
        </w:rPr>
        <w:br/>
        <w:t xml:space="preserve">　　（五）储罐（罐区）、管道的选型、布置及防火堤（隔堤）的设置不符合规定的。 </w:t>
      </w:r>
      <w:r w:rsidRPr="004F3EBC">
        <w:rPr>
          <w:rFonts w:ascii="宋体" w:eastAsia="宋体" w:hAnsi="宋体" w:cs="宋体" w:hint="eastAsia"/>
          <w:color w:val="333333"/>
          <w:kern w:val="0"/>
          <w:szCs w:val="21"/>
        </w:rPr>
        <w:br/>
        <w:t xml:space="preserve">　　第六条 “危险货物作业场所的安全设施、应急设备的配备不能满足要求，或者不能正常运行、使用的”重大事故隐患，是指有下列情形之一的： </w:t>
      </w:r>
      <w:r w:rsidRPr="004F3EBC">
        <w:rPr>
          <w:rFonts w:ascii="宋体" w:eastAsia="宋体" w:hAnsi="宋体" w:cs="宋体" w:hint="eastAsia"/>
          <w:color w:val="333333"/>
          <w:kern w:val="0"/>
          <w:szCs w:val="21"/>
        </w:rPr>
        <w:br/>
      </w:r>
      <w:r w:rsidRPr="004F3EBC">
        <w:rPr>
          <w:rFonts w:ascii="宋体" w:eastAsia="宋体" w:hAnsi="宋体" w:cs="宋体" w:hint="eastAsia"/>
          <w:color w:val="333333"/>
          <w:kern w:val="0"/>
          <w:szCs w:val="21"/>
        </w:rPr>
        <w:lastRenderedPageBreak/>
        <w:t xml:space="preserve">　　（一）危险货物作业场所未按规定设置相应的防火、防爆、防雷、防静电、防泄漏等安全设施、措施，或者不能正常运行的； </w:t>
      </w:r>
      <w:r w:rsidRPr="004F3EBC">
        <w:rPr>
          <w:rFonts w:ascii="宋体" w:eastAsia="宋体" w:hAnsi="宋体" w:cs="宋体" w:hint="eastAsia"/>
          <w:color w:val="333333"/>
          <w:kern w:val="0"/>
          <w:szCs w:val="21"/>
        </w:rPr>
        <w:br/>
        <w:t xml:space="preserve">　　（二）危险货物作业大型机械未按规定设置防阵风和防台风装置，或者不能正常运行的； </w:t>
      </w:r>
      <w:r w:rsidRPr="004F3EBC">
        <w:rPr>
          <w:rFonts w:ascii="宋体" w:eastAsia="宋体" w:hAnsi="宋体" w:cs="宋体" w:hint="eastAsia"/>
          <w:color w:val="333333"/>
          <w:kern w:val="0"/>
          <w:szCs w:val="21"/>
        </w:rPr>
        <w:br/>
        <w:t xml:space="preserve">　　（三）危险货物作业场所未按规定设置通信、报警装置，或者不能正常运行的； </w:t>
      </w:r>
      <w:r w:rsidRPr="004F3EBC">
        <w:rPr>
          <w:rFonts w:ascii="宋体" w:eastAsia="宋体" w:hAnsi="宋体" w:cs="宋体" w:hint="eastAsia"/>
          <w:color w:val="333333"/>
          <w:kern w:val="0"/>
          <w:szCs w:val="21"/>
        </w:rPr>
        <w:br/>
        <w:t xml:space="preserve">　　（四）重大危险源未按规定配备温度、压力、液位、流量、组份等信息的不间断采集和监测系统的；储存剧毒物质的场所、设施，未按规定设置视频监控系统，或者不能正常运行的； </w:t>
      </w:r>
      <w:r w:rsidRPr="004F3EBC">
        <w:rPr>
          <w:rFonts w:ascii="宋体" w:eastAsia="宋体" w:hAnsi="宋体" w:cs="宋体" w:hint="eastAsia"/>
          <w:color w:val="333333"/>
          <w:kern w:val="0"/>
          <w:szCs w:val="21"/>
        </w:rPr>
        <w:br/>
        <w:t xml:space="preserve">　　（五）工艺设备及管道未根据输送物料的火灾危险性及作业条件，设置相应的仪表、自动</w:t>
      </w:r>
      <w:proofErr w:type="gramStart"/>
      <w:r w:rsidRPr="004F3EBC">
        <w:rPr>
          <w:rFonts w:ascii="宋体" w:eastAsia="宋体" w:hAnsi="宋体" w:cs="宋体" w:hint="eastAsia"/>
          <w:color w:val="333333"/>
          <w:kern w:val="0"/>
          <w:szCs w:val="21"/>
        </w:rPr>
        <w:t>联锁</w:t>
      </w:r>
      <w:proofErr w:type="gramEnd"/>
      <w:r w:rsidRPr="004F3EBC">
        <w:rPr>
          <w:rFonts w:ascii="宋体" w:eastAsia="宋体" w:hAnsi="宋体" w:cs="宋体" w:hint="eastAsia"/>
          <w:color w:val="333333"/>
          <w:kern w:val="0"/>
          <w:szCs w:val="21"/>
        </w:rPr>
        <w:t xml:space="preserve">保护系统或者紧急切断措施，或者不能正常运行的； </w:t>
      </w:r>
      <w:r w:rsidRPr="004F3EBC">
        <w:rPr>
          <w:rFonts w:ascii="宋体" w:eastAsia="宋体" w:hAnsi="宋体" w:cs="宋体" w:hint="eastAsia"/>
          <w:color w:val="333333"/>
          <w:kern w:val="0"/>
          <w:szCs w:val="21"/>
        </w:rPr>
        <w:br/>
        <w:t xml:space="preserve">　　（六）未按规定配备必要的应急救援器材、设备的；应急救援器材、设备不能满足可能发生的火灾、爆炸、泄漏、中毒事故的应急处置的类型、功能、数量要求，或者不能正常使用的。 </w:t>
      </w:r>
      <w:r w:rsidRPr="004F3EBC">
        <w:rPr>
          <w:rFonts w:ascii="宋体" w:eastAsia="宋体" w:hAnsi="宋体" w:cs="宋体" w:hint="eastAsia"/>
          <w:color w:val="333333"/>
          <w:kern w:val="0"/>
          <w:szCs w:val="21"/>
        </w:rPr>
        <w:br/>
        <w:t xml:space="preserve">　　第七条 “危险货物作业场所或装卸储运设备设施的安全距离（间距）不符合规定的”重大事故隐患，是指有下列情形之一的： </w:t>
      </w:r>
      <w:r w:rsidRPr="004F3EBC">
        <w:rPr>
          <w:rFonts w:ascii="宋体" w:eastAsia="宋体" w:hAnsi="宋体" w:cs="宋体" w:hint="eastAsia"/>
          <w:color w:val="333333"/>
          <w:kern w:val="0"/>
          <w:szCs w:val="21"/>
        </w:rPr>
        <w:br/>
        <w:t xml:space="preserve">　　（一）危险货物作业场所与其外部周边地区人员密集场所、重要公共设施、重要交通基础设施等的安全距离（间距）不符合规定的； </w:t>
      </w:r>
      <w:r w:rsidRPr="004F3EBC">
        <w:rPr>
          <w:rFonts w:ascii="宋体" w:eastAsia="宋体" w:hAnsi="宋体" w:cs="宋体" w:hint="eastAsia"/>
          <w:color w:val="333333"/>
          <w:kern w:val="0"/>
          <w:szCs w:val="21"/>
        </w:rPr>
        <w:br/>
        <w:t xml:space="preserve">　　（二）危险货物港口经营人内部装卸储运设备设施以及建构筑物之间的安全距离（间距）不符合规定的。 </w:t>
      </w:r>
      <w:r w:rsidRPr="004F3EBC">
        <w:rPr>
          <w:rFonts w:ascii="宋体" w:eastAsia="宋体" w:hAnsi="宋体" w:cs="宋体" w:hint="eastAsia"/>
          <w:color w:val="333333"/>
          <w:kern w:val="0"/>
          <w:szCs w:val="21"/>
        </w:rPr>
        <w:br/>
        <w:t xml:space="preserve">　　第八条 “安全管理存在重大缺陷的”重大事故隐患，是指有下列情形之一的： </w:t>
      </w:r>
      <w:r w:rsidRPr="004F3EBC">
        <w:rPr>
          <w:rFonts w:ascii="宋体" w:eastAsia="宋体" w:hAnsi="宋体" w:cs="宋体" w:hint="eastAsia"/>
          <w:color w:val="333333"/>
          <w:kern w:val="0"/>
          <w:szCs w:val="21"/>
        </w:rPr>
        <w:br/>
        <w:t xml:space="preserve">　　（一）未按规定设置安全生产管理机构、配备专职安全生产管理人员的；未建立安全生产责任制、安全教育培训制度、安全操作规程、安全事故隐患排查治理、重大危险源管理、火灾（爆炸、泄漏、中毒）等重大事故应急预案等安全管理制度，或者落实不到位且情节严重的； </w:t>
      </w:r>
      <w:r w:rsidRPr="004F3EBC">
        <w:rPr>
          <w:rFonts w:ascii="宋体" w:eastAsia="宋体" w:hAnsi="宋体" w:cs="宋体" w:hint="eastAsia"/>
          <w:color w:val="333333"/>
          <w:kern w:val="0"/>
          <w:szCs w:val="21"/>
        </w:rPr>
        <w:br/>
        <w:t xml:space="preserve">　　（二）未按规定对安全生产条件定期进行安全评价的； </w:t>
      </w:r>
      <w:r w:rsidRPr="004F3EBC">
        <w:rPr>
          <w:rFonts w:ascii="宋体" w:eastAsia="宋体" w:hAnsi="宋体" w:cs="宋体" w:hint="eastAsia"/>
          <w:color w:val="333333"/>
          <w:kern w:val="0"/>
          <w:szCs w:val="21"/>
        </w:rPr>
        <w:br/>
        <w:t xml:space="preserve">　　（三）从业人员未按规定取得相关从业资格证书并持证上岗的； </w:t>
      </w:r>
      <w:r w:rsidRPr="004F3EBC">
        <w:rPr>
          <w:rFonts w:ascii="宋体" w:eastAsia="宋体" w:hAnsi="宋体" w:cs="宋体" w:hint="eastAsia"/>
          <w:color w:val="333333"/>
          <w:kern w:val="0"/>
          <w:szCs w:val="21"/>
        </w:rPr>
        <w:br/>
        <w:t xml:space="preserve">　　（四）违反安全规范或操作规程在作业区域进行动火、受限空间作业、盲板抽堵、高处作业、吊装、临时用电、动土、断路作业等危险作业的。 </w:t>
      </w:r>
      <w:r w:rsidRPr="004F3EBC">
        <w:rPr>
          <w:rFonts w:ascii="宋体" w:eastAsia="宋体" w:hAnsi="宋体" w:cs="宋体" w:hint="eastAsia"/>
          <w:color w:val="333333"/>
          <w:kern w:val="0"/>
          <w:szCs w:val="21"/>
        </w:rPr>
        <w:br/>
        <w:t xml:space="preserve">　　第九条 除以上列明的情形外，各地可结合本地实际，对发现的风险较大且难以直接判断为重大事故隐患的，组织5名或7名危险货物港口作业领域专家，依据安全生产法律法规、国家标准和行业标准，结合同类型重特大事故案例，针对事故发生的概率和可能造成的后果、整改难易程度，采用风险矩阵、专家分析等方法，进行论证分析、综合判定。 </w:t>
      </w:r>
      <w:r w:rsidRPr="004F3EBC">
        <w:rPr>
          <w:rFonts w:ascii="宋体" w:eastAsia="宋体" w:hAnsi="宋体" w:cs="宋体" w:hint="eastAsia"/>
          <w:color w:val="333333"/>
          <w:kern w:val="0"/>
          <w:szCs w:val="21"/>
        </w:rPr>
        <w:br/>
        <w:t xml:space="preserve">　　第十条 关于危险货物港口作业特种设备相关重大事故隐患判定依照国家相关法律法规、标准规范执行，消防相关重大事故隐患判定依照《重大火灾隐患判定方法》（GA653）等标</w:t>
      </w:r>
      <w:r w:rsidRPr="004F3EBC">
        <w:rPr>
          <w:rFonts w:ascii="宋体" w:eastAsia="宋体" w:hAnsi="宋体" w:cs="宋体" w:hint="eastAsia"/>
          <w:color w:val="333333"/>
          <w:kern w:val="0"/>
          <w:szCs w:val="21"/>
        </w:rPr>
        <w:lastRenderedPageBreak/>
        <w:t xml:space="preserve">准规范执行。 </w:t>
      </w:r>
      <w:r w:rsidRPr="004F3EBC">
        <w:rPr>
          <w:rFonts w:ascii="宋体" w:eastAsia="宋体" w:hAnsi="宋体" w:cs="宋体" w:hint="eastAsia"/>
          <w:color w:val="333333"/>
          <w:kern w:val="0"/>
          <w:szCs w:val="21"/>
        </w:rPr>
        <w:br/>
        <w:t xml:space="preserve">　　第十一条 依照本指南判定为重大事故隐患的，应依法依规采取相应处置措施。 </w:t>
      </w:r>
      <w:r w:rsidRPr="004F3EBC">
        <w:rPr>
          <w:rFonts w:ascii="宋体" w:eastAsia="宋体" w:hAnsi="宋体" w:cs="宋体" w:hint="eastAsia"/>
          <w:color w:val="333333"/>
          <w:kern w:val="0"/>
          <w:szCs w:val="21"/>
        </w:rPr>
        <w:br/>
        <w:t xml:space="preserve">　　第十二条 本指南下列用语的含义： </w:t>
      </w:r>
      <w:r w:rsidRPr="004F3EBC">
        <w:rPr>
          <w:rFonts w:ascii="宋体" w:eastAsia="宋体" w:hAnsi="宋体" w:cs="宋体" w:hint="eastAsia"/>
          <w:color w:val="333333"/>
          <w:kern w:val="0"/>
          <w:szCs w:val="21"/>
        </w:rPr>
        <w:br/>
        <w:t xml:space="preserve">　　（一）港口危险货物重大危险源，是指依照《危险化学品重大危险源辨识》（GB18218）、《港口危险货物重大危险源监督管理办法（试行）》辨识确定，港口区域内储存危险货物的数量等于或者超过临界量的单元（包括场所和设施）； </w:t>
      </w:r>
      <w:r w:rsidRPr="004F3EBC">
        <w:rPr>
          <w:rFonts w:ascii="宋体" w:eastAsia="宋体" w:hAnsi="宋体" w:cs="宋体" w:hint="eastAsia"/>
          <w:color w:val="333333"/>
          <w:kern w:val="0"/>
          <w:szCs w:val="21"/>
        </w:rPr>
        <w:br/>
        <w:t xml:space="preserve">　　（二）液体散货码头，是指原油、成品油、液体化工品和液化石油气、液化天然气等散装液体货物的装卸码头； </w:t>
      </w:r>
      <w:r w:rsidRPr="004F3EBC">
        <w:rPr>
          <w:rFonts w:ascii="宋体" w:eastAsia="宋体" w:hAnsi="宋体" w:cs="宋体" w:hint="eastAsia"/>
          <w:color w:val="333333"/>
          <w:kern w:val="0"/>
          <w:szCs w:val="21"/>
        </w:rPr>
        <w:br/>
        <w:t xml:space="preserve">　　（三）事故隐患，是指危险货物港口经营人违反安全生产法律、法规、规章、标准、规程和安全生产管理制度的规定，或者因其他因素在生产经营活动中存在可能导致事故发生的人的不安全行为、物的危险状态、场所的不安全因素和管理上的缺陷。 </w:t>
      </w:r>
      <w:r w:rsidRPr="004F3EBC">
        <w:rPr>
          <w:rFonts w:ascii="宋体" w:eastAsia="宋体" w:hAnsi="宋体" w:cs="宋体" w:hint="eastAsia"/>
          <w:color w:val="333333"/>
          <w:kern w:val="0"/>
          <w:szCs w:val="21"/>
        </w:rPr>
        <w:br/>
        <w:t xml:space="preserve">　　重大事故隐患，是指危害和整改难度较大，需要局部或者全部停产停业，并经过一定时间整改治理方能消除的事故隐患，或者因外部因素影响致使生产经营单位自身难以消除的事故隐患。</w:t>
      </w:r>
    </w:p>
    <w:p w:rsidR="006D5B9E" w:rsidRPr="004F3EBC" w:rsidRDefault="006D5B9E" w:rsidP="006D5B9E">
      <w:pPr>
        <w:widowControl/>
        <w:spacing w:line="580" w:lineRule="exact"/>
        <w:rPr>
          <w:rFonts w:ascii="仿宋_GB2312" w:eastAsia="仿宋_GB2312" w:hAnsi="Times New Roman" w:cs="Times New Roman"/>
          <w:kern w:val="0"/>
          <w:sz w:val="32"/>
          <w:szCs w:val="32"/>
        </w:rPr>
      </w:pPr>
      <w:bookmarkStart w:id="0" w:name="_GoBack"/>
      <w:bookmarkEnd w:id="0"/>
    </w:p>
    <w:sectPr w:rsidR="006D5B9E" w:rsidRPr="004F3EBC" w:rsidSect="00D5315C">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1D" w:rsidRDefault="009A691D" w:rsidP="006D5B9E">
      <w:r>
        <w:separator/>
      </w:r>
    </w:p>
  </w:endnote>
  <w:endnote w:type="continuationSeparator" w:id="0">
    <w:p w:rsidR="009A691D" w:rsidRDefault="009A691D" w:rsidP="006D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001"/>
      <w:docPartObj>
        <w:docPartGallery w:val="Page Numbers (Bottom of Page)"/>
        <w:docPartUnique/>
      </w:docPartObj>
    </w:sdtPr>
    <w:sdtEndPr/>
    <w:sdtContent>
      <w:p w:rsidR="00D5315C" w:rsidRDefault="000A0C71">
        <w:pPr>
          <w:pStyle w:val="a4"/>
          <w:jc w:val="center"/>
        </w:pPr>
        <w:r>
          <w:fldChar w:fldCharType="begin"/>
        </w:r>
        <w:r>
          <w:instrText xml:space="preserve"> PAGE   \* MERGEFORMAT </w:instrText>
        </w:r>
        <w:r>
          <w:fldChar w:fldCharType="separate"/>
        </w:r>
        <w:r w:rsidR="004F3EBC" w:rsidRPr="004F3EBC">
          <w:rPr>
            <w:noProof/>
            <w:lang w:val="zh-CN"/>
          </w:rPr>
          <w:t>2</w:t>
        </w:r>
        <w:r>
          <w:fldChar w:fldCharType="end"/>
        </w:r>
      </w:p>
    </w:sdtContent>
  </w:sdt>
  <w:p w:rsidR="00D5315C" w:rsidRDefault="00D531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1D" w:rsidRDefault="009A691D" w:rsidP="006D5B9E">
      <w:r>
        <w:separator/>
      </w:r>
    </w:p>
  </w:footnote>
  <w:footnote w:type="continuationSeparator" w:id="0">
    <w:p w:rsidR="009A691D" w:rsidRDefault="009A691D" w:rsidP="006D5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9E"/>
    <w:rsid w:val="000A0C71"/>
    <w:rsid w:val="001E55FA"/>
    <w:rsid w:val="002F71AA"/>
    <w:rsid w:val="004F3EBC"/>
    <w:rsid w:val="005C6785"/>
    <w:rsid w:val="006220FD"/>
    <w:rsid w:val="006D5B9E"/>
    <w:rsid w:val="007944C8"/>
    <w:rsid w:val="00956758"/>
    <w:rsid w:val="00966BA0"/>
    <w:rsid w:val="009A691D"/>
    <w:rsid w:val="00B014EA"/>
    <w:rsid w:val="00D42264"/>
    <w:rsid w:val="00D5315C"/>
    <w:rsid w:val="00E324B8"/>
    <w:rsid w:val="00F271B0"/>
    <w:rsid w:val="00F9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5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5B9E"/>
    <w:rPr>
      <w:sz w:val="18"/>
      <w:szCs w:val="18"/>
    </w:rPr>
  </w:style>
  <w:style w:type="paragraph" w:styleId="a4">
    <w:name w:val="footer"/>
    <w:basedOn w:val="a"/>
    <w:link w:val="Char0"/>
    <w:uiPriority w:val="99"/>
    <w:unhideWhenUsed/>
    <w:rsid w:val="006D5B9E"/>
    <w:pPr>
      <w:tabs>
        <w:tab w:val="center" w:pos="4153"/>
        <w:tab w:val="right" w:pos="8306"/>
      </w:tabs>
      <w:snapToGrid w:val="0"/>
      <w:jc w:val="left"/>
    </w:pPr>
    <w:rPr>
      <w:sz w:val="18"/>
      <w:szCs w:val="18"/>
    </w:rPr>
  </w:style>
  <w:style w:type="character" w:customStyle="1" w:styleId="Char0">
    <w:name w:val="页脚 Char"/>
    <w:basedOn w:val="a0"/>
    <w:link w:val="a4"/>
    <w:uiPriority w:val="99"/>
    <w:rsid w:val="006D5B9E"/>
    <w:rPr>
      <w:sz w:val="18"/>
      <w:szCs w:val="18"/>
    </w:rPr>
  </w:style>
  <w:style w:type="paragraph" w:customStyle="1" w:styleId="p0">
    <w:name w:val="p0"/>
    <w:basedOn w:val="a"/>
    <w:rsid w:val="006D5B9E"/>
    <w:pPr>
      <w:widowControl/>
    </w:pPr>
    <w:rPr>
      <w:rFonts w:ascii="Times New Roman" w:eastAsia="宋体" w:hAnsi="Times New Roman" w:cs="Times New Roman"/>
      <w:kern w:val="0"/>
      <w:szCs w:val="21"/>
    </w:rPr>
  </w:style>
  <w:style w:type="table" w:styleId="a5">
    <w:name w:val="Table Grid"/>
    <w:basedOn w:val="a1"/>
    <w:uiPriority w:val="59"/>
    <w:rsid w:val="006D5B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5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5B9E"/>
    <w:rPr>
      <w:sz w:val="18"/>
      <w:szCs w:val="18"/>
    </w:rPr>
  </w:style>
  <w:style w:type="paragraph" w:styleId="a4">
    <w:name w:val="footer"/>
    <w:basedOn w:val="a"/>
    <w:link w:val="Char0"/>
    <w:uiPriority w:val="99"/>
    <w:unhideWhenUsed/>
    <w:rsid w:val="006D5B9E"/>
    <w:pPr>
      <w:tabs>
        <w:tab w:val="center" w:pos="4153"/>
        <w:tab w:val="right" w:pos="8306"/>
      </w:tabs>
      <w:snapToGrid w:val="0"/>
      <w:jc w:val="left"/>
    </w:pPr>
    <w:rPr>
      <w:sz w:val="18"/>
      <w:szCs w:val="18"/>
    </w:rPr>
  </w:style>
  <w:style w:type="character" w:customStyle="1" w:styleId="Char0">
    <w:name w:val="页脚 Char"/>
    <w:basedOn w:val="a0"/>
    <w:link w:val="a4"/>
    <w:uiPriority w:val="99"/>
    <w:rsid w:val="006D5B9E"/>
    <w:rPr>
      <w:sz w:val="18"/>
      <w:szCs w:val="18"/>
    </w:rPr>
  </w:style>
  <w:style w:type="paragraph" w:customStyle="1" w:styleId="p0">
    <w:name w:val="p0"/>
    <w:basedOn w:val="a"/>
    <w:rsid w:val="006D5B9E"/>
    <w:pPr>
      <w:widowControl/>
    </w:pPr>
    <w:rPr>
      <w:rFonts w:ascii="Times New Roman" w:eastAsia="宋体" w:hAnsi="Times New Roman" w:cs="Times New Roman"/>
      <w:kern w:val="0"/>
      <w:szCs w:val="21"/>
    </w:rPr>
  </w:style>
  <w:style w:type="table" w:styleId="a5">
    <w:name w:val="Table Grid"/>
    <w:basedOn w:val="a1"/>
    <w:uiPriority w:val="59"/>
    <w:rsid w:val="006D5B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77869">
      <w:bodyDiv w:val="1"/>
      <w:marLeft w:val="0"/>
      <w:marRight w:val="0"/>
      <w:marTop w:val="0"/>
      <w:marBottom w:val="0"/>
      <w:divBdr>
        <w:top w:val="none" w:sz="0" w:space="0" w:color="auto"/>
        <w:left w:val="none" w:sz="0" w:space="0" w:color="auto"/>
        <w:bottom w:val="none" w:sz="0" w:space="0" w:color="auto"/>
        <w:right w:val="none" w:sz="0" w:space="0" w:color="auto"/>
      </w:divBdr>
    </w:div>
    <w:div w:id="372728086">
      <w:bodyDiv w:val="1"/>
      <w:marLeft w:val="0"/>
      <w:marRight w:val="0"/>
      <w:marTop w:val="0"/>
      <w:marBottom w:val="0"/>
      <w:divBdr>
        <w:top w:val="none" w:sz="0" w:space="0" w:color="auto"/>
        <w:left w:val="none" w:sz="0" w:space="0" w:color="auto"/>
        <w:bottom w:val="none" w:sz="0" w:space="0" w:color="auto"/>
        <w:right w:val="none" w:sz="0" w:space="0" w:color="auto"/>
      </w:divBdr>
    </w:div>
    <w:div w:id="705986033">
      <w:bodyDiv w:val="1"/>
      <w:marLeft w:val="0"/>
      <w:marRight w:val="0"/>
      <w:marTop w:val="0"/>
      <w:marBottom w:val="0"/>
      <w:divBdr>
        <w:top w:val="none" w:sz="0" w:space="0" w:color="auto"/>
        <w:left w:val="none" w:sz="0" w:space="0" w:color="auto"/>
        <w:bottom w:val="none" w:sz="0" w:space="0" w:color="auto"/>
        <w:right w:val="none" w:sz="0" w:space="0" w:color="auto"/>
      </w:divBdr>
    </w:div>
    <w:div w:id="1754662878">
      <w:bodyDiv w:val="1"/>
      <w:marLeft w:val="0"/>
      <w:marRight w:val="0"/>
      <w:marTop w:val="0"/>
      <w:marBottom w:val="0"/>
      <w:divBdr>
        <w:top w:val="none" w:sz="0" w:space="0" w:color="auto"/>
        <w:left w:val="none" w:sz="0" w:space="0" w:color="auto"/>
        <w:bottom w:val="none" w:sz="0" w:space="0" w:color="auto"/>
        <w:right w:val="none" w:sz="0" w:space="0" w:color="auto"/>
      </w:divBdr>
      <w:divsChild>
        <w:div w:id="1391071813">
          <w:marLeft w:val="0"/>
          <w:marRight w:val="0"/>
          <w:marTop w:val="0"/>
          <w:marBottom w:val="0"/>
          <w:divBdr>
            <w:top w:val="none" w:sz="0" w:space="0" w:color="auto"/>
            <w:left w:val="none" w:sz="0" w:space="0" w:color="auto"/>
            <w:bottom w:val="none" w:sz="0" w:space="0" w:color="auto"/>
            <w:right w:val="none" w:sz="0" w:space="0" w:color="auto"/>
          </w:divBdr>
          <w:divsChild>
            <w:div w:id="796533601">
              <w:marLeft w:val="0"/>
              <w:marRight w:val="0"/>
              <w:marTop w:val="0"/>
              <w:marBottom w:val="0"/>
              <w:divBdr>
                <w:top w:val="single" w:sz="6" w:space="8" w:color="666666"/>
                <w:left w:val="single" w:sz="6" w:space="0" w:color="666666"/>
                <w:bottom w:val="single" w:sz="6" w:space="8" w:color="666666"/>
                <w:right w:val="single" w:sz="6" w:space="0" w:color="666666"/>
              </w:divBdr>
            </w:div>
            <w:div w:id="774984025">
              <w:marLeft w:val="0"/>
              <w:marRight w:val="0"/>
              <w:marTop w:val="300"/>
              <w:marBottom w:val="0"/>
              <w:divBdr>
                <w:top w:val="single" w:sz="6" w:space="15" w:color="666666"/>
                <w:left w:val="single" w:sz="6" w:space="15" w:color="666666"/>
                <w:bottom w:val="single" w:sz="6" w:space="15" w:color="666666"/>
                <w:right w:val="single" w:sz="6" w:space="15" w:color="666666"/>
              </w:divBdr>
              <w:divsChild>
                <w:div w:id="15587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5438">
      <w:bodyDiv w:val="1"/>
      <w:marLeft w:val="0"/>
      <w:marRight w:val="0"/>
      <w:marTop w:val="0"/>
      <w:marBottom w:val="0"/>
      <w:divBdr>
        <w:top w:val="none" w:sz="0" w:space="0" w:color="auto"/>
        <w:left w:val="none" w:sz="0" w:space="0" w:color="auto"/>
        <w:bottom w:val="none" w:sz="0" w:space="0" w:color="auto"/>
        <w:right w:val="none" w:sz="0" w:space="0" w:color="auto"/>
      </w:divBdr>
      <w:divsChild>
        <w:div w:id="609358379">
          <w:marLeft w:val="0"/>
          <w:marRight w:val="0"/>
          <w:marTop w:val="0"/>
          <w:marBottom w:val="0"/>
          <w:divBdr>
            <w:top w:val="none" w:sz="0" w:space="0" w:color="auto"/>
            <w:left w:val="none" w:sz="0" w:space="0" w:color="auto"/>
            <w:bottom w:val="none" w:sz="0" w:space="0" w:color="auto"/>
            <w:right w:val="none" w:sz="0" w:space="0" w:color="auto"/>
          </w:divBdr>
          <w:divsChild>
            <w:div w:id="1468548358">
              <w:marLeft w:val="0"/>
              <w:marRight w:val="0"/>
              <w:marTop w:val="0"/>
              <w:marBottom w:val="0"/>
              <w:divBdr>
                <w:top w:val="single" w:sz="6" w:space="8" w:color="666666"/>
                <w:left w:val="single" w:sz="6" w:space="0" w:color="666666"/>
                <w:bottom w:val="single" w:sz="6" w:space="8" w:color="666666"/>
                <w:right w:val="single" w:sz="6" w:space="0" w:color="666666"/>
              </w:divBdr>
            </w:div>
            <w:div w:id="1358002038">
              <w:marLeft w:val="0"/>
              <w:marRight w:val="0"/>
              <w:marTop w:val="300"/>
              <w:marBottom w:val="0"/>
              <w:divBdr>
                <w:top w:val="single" w:sz="6" w:space="15" w:color="666666"/>
                <w:left w:val="single" w:sz="6" w:space="15" w:color="666666"/>
                <w:bottom w:val="single" w:sz="6" w:space="15" w:color="666666"/>
                <w:right w:val="single" w:sz="6" w:space="15" w:color="666666"/>
              </w:divBdr>
              <w:divsChild>
                <w:div w:id="243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2852</Characters>
  <Application>Microsoft Office Word</Application>
  <DocSecurity>0</DocSecurity>
  <Lines>23</Lines>
  <Paragraphs>6</Paragraphs>
  <ScaleCrop>false</ScaleCrop>
  <Company>Microsoft</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竺宇宏</dc:creator>
  <cp:lastModifiedBy>池</cp:lastModifiedBy>
  <cp:revision>3</cp:revision>
  <dcterms:created xsi:type="dcterms:W3CDTF">2018-03-21T01:34:00Z</dcterms:created>
  <dcterms:modified xsi:type="dcterms:W3CDTF">2018-03-21T01:35:00Z</dcterms:modified>
</cp:coreProperties>
</file>