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(152-16-9)八甲基焦磷酰胺安全技术说明书MSDS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中文名：八甲基焦磷酰胺   俗称（别名）：八甲磷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英文名：octamethylpyrophosphoramine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分子式：C₈H₂₄N₄O₃P₂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分子量：286.25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危化品编号：41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CAS号：152-16-9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外观性状：无色或浅黄色粘稠液体，有胡椒气味。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溶解性：与水混溶，溶于醇、酮等多数有机溶剂。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溶点：（℃）20~21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沸点：（℃）137(0.27kPa)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危险特性：遇明火、高热可燃。受热分解，放出氮、磷的氧化物等毒性气体。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抗溶性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毒性：LD50：5mg/kg(大鼠经口)；50～100mg/kg(大鼠经皮)LC50：无资料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引起神经功能紊乱，发生与胆碱能神经过度兴奋相似的症状。急性中毒：轻度：有头痛、头晕、恶心、呕吐、多汗、胸闷、视力模糊、无力等症状，全血胆碱酯酶活性在50%～70%；中度：除上述症状外，有肌束震颤、瞳孔缩小、轻度呼吸困难、流涎、腹痛、腹泻等，全血胆碱酯酶活性在30%～50%?重度：上述症状加重，可有肺水肿、昏迷、呼吸麻痹或脑水肿，全血胆碱酯酶活性在30%以下。可引起迟发性神经病。慢性影响：可有神经衰弱综合征、腹胀、多汗、肌纤维震颤等，全血胆碱酯酶降至50%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前苏联MAC：0.02[皮]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