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(101-14-4)4,4′-亚甲基双(2-氯苯胺)4,4′-二氨基-3,3′-二氯二苯基甲烷安全技术说明书MSDS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中文名：4,4′-亚甲基双(2-氯苯胺)4,4′-二氨基-3,3′-二氯二苯基甲烷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英文名：4，4′-METHYLENEBIS(2-CHLOROANIHNE)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分子式：C₁₃H₁₂Cl₂N₂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UN编号：2018固体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危险性类别：致癌性,类别1A;危害水生环境-急性危害,类别1;危害水生环境-长期危害,类别1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危化品编号：304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CAS号：101-14-4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外观性状：固体颗粒或薄片，受热产生有毒的氯化氢气体，略有氨味。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活泼金属发生反应(如钾、钠、镁和锌)。与硝酸纤维大面积接触会引起燃烧。与丙烯醛、丙烯腈、叔丁基硝基乙炔、环氧乙烷、异丙基氯甲酸酯、马来酸酐、三异丁基铝不能配伍。易燃性(红色)：1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器具(包括SCBA)不能提供足够有效的防护。若不小心接触，立即撤离现场，隔离器具，对人员彻底清污。封闭区域内的蒸气遇火能爆炸。储存容器及其部件可能向四面八方飞射很远。如果该物质或被污染的流体进入水路，通知有潜在水体污染的下游用户，通知地方卫生、消防官员和污染控制部门。使用干粉、泡沫、二氧化碳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毒性：LD50：高毒性LC50：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应避免皮肤接触，吸入或接触的危害可以是迟发的。确认的致癌剂。刺激眼睛、皮肤和呼吸道，可影响肝、肾，形成高铁血红蛋白。IARC评价：2A组，可疑人类致癌物，动物证据充分NTP：潜在致癌物OSHA：表Z―1空气污染物健康危害(蓝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脱去并隔离被污染的衣服和鞋。用肥皂和清水清洗皮肤。注意患者保暖并且保持安静。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中国MAC：ACGIH(1)：（TWA）0．01ppm；0．11mg／m³NIOSH(2)：（TWA）0．003mg／m³OSHA：（TWA）无注：(1)可疑致癌物。皮肤接触危害较大。(2)潜在致癌物。尽量减少暴露。皮肤接触危害较大。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环境信息：防止空气污染法：危害空气污染物(篇1，条A，款112)EPA有害废物代码：U158资源保护和回收法：款261．24，毒性特性。资源保护和回收法：禁止土地存放的废物。应急计划和社区知情权法：款304应报告量4．54kg应急计划和社区知情权法：款313表R，最低应报告浓度：0．1％加州建议65：致癌物。有毒物质控制法：40CFR704．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ERG指南：152ERG指南分类：毒性物质(可燃的)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