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(298-00-0)甲基对硫磷安全技术说明书MSDS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中文名：甲基对硫磷   俗称（别名）：甲基1605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英文名：methylparathion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分子式：C₈H₁₀NO₅PS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分子量：263.21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危险性类别：易燃液体,类别3;急性毒性-经口,类别2*;急性毒性-经皮,类别3*;急性毒性-吸入,类别2*;特异性靶器官毒性-反复接触,类别2*;危害水生环境-急性危害,类别1;危害水生环境-长期危害,类别1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危化品编号：391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CAS号：298-00-0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外观性状：无色结晶粉末，工业品为棕色或黄色液体或固体。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溶解性：微溶于水，易溶于芳烃。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燃烧分解产物：一氧化碳、氧化氮、氧化硫、氧化磷。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危险特性：遇明火、高热可燃。受热分解，放出磷、硫的氧化物等毒性气体。在碱液中能迅速分解。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毒性：LD50：14～42mg/kg(大鼠经口)；63mg/kg(大鼠经皮)LC50：34mg/m³，4小时(大鼠吸入)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，造成神经生理功能紊乱。急性中毒：短期接触(口服、吸入、皮肤、粘膜)大量引起急性中毒。表现有头痛、头昏、食欲减退、恶心、呕吐、腹痛、腹泻、流涎、瞳孔缩小、呼吸道分泌物增多、多汗、肌束震颤等。重者出现肺水肿、脑水肿、昏迷、呼吸麻痹。部分病例可有心、肝、肾损害。严重中毒可在脱离昏迷状态后出现精神症状。血胆碱酶恬性下降。慢性中毒：尚无定论。有神经衰弱综合征、多汗、肌束震颤等。血胆碱酯酶活性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中国MAC：0.1[皮]  前苏联MAC：0.1   TLVTN：ACGIH0.2mg/m³[皮]  TLVWN：未制定标准</w:t>
              <w:br/>
              <w:t>※工程控制：密闭操作，局部排风。提供安全淋浴和洗眼设备。</w:t>
              <w:br/>
              <w:t>※呼吸系统防护：生产操作或农业使用时，必须佩戴自吸过滤式防毒面具（全面罩）。紧急事态抢救或撤离时，佩戴空气呼吸器。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若是液体。尽可能切断泄漏源。防止流入下水道、排洪沟等限制性空间。小量泄漏：用砂土或其它不燃材料吸附或吸收。大量泄漏：构筑围堤或挖坑收容。在专家指导下清除。若是固体，避免扬尘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密封。应与氧化剂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