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(470-90-6)毒虫畏O,O―二乙基―2―氯―1―(2,4―二氯苯基)乙烯基酸酯杀螟威安全技术说明书MSDS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中文名：毒虫畏O,O―二乙基―2―氯―1―(2,4―二氯苯基)乙烯基酸酯杀螟威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英文名：CHLORFENVINPHOS；2-Chloro-1-(2，4-diehlorophenyl)ethenyldiethylphosphate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分子式：C₁₂H₁₄Cl₃O₄P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危险性类别：急性毒性-经口,类别2*;急性毒性-经皮,类别3*;危害水生环境-急性危害,类别1;危害水生环境-长期危害,类别1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危化品编号：665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CAS号：470-90-6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溶点：（℃）-19～23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沸点：（℃）110(0．001mmHg)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灭火方法：喷水、喷雾或使用二氧化碳、泡沫灭火剂；尽量转移火中的容器，灭火时穿戴压气式呼吸器及专用防护服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毒性：LD50：剧毒LD50：10mg／kg(大鼠经口)LC50：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食入，吸入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恶心、呕吐、腹痛、痉挛、腹泻、多涎、头痛、头晕、无力、脑闷、视力模糊、瞳孔缩小、肌肉失调、呼吸困难、抽筋、昏迷直至死亡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喷水雾减少泄漏物挥发量；不得触摸泄漏物，少量泄漏，用砂或其它不燃吸附剂吸附并装入容器中，大量泄漏，应围堤处理，整个处理工作应于高处和上风处进行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储存：存于玻璃套筒或乙烯内衬的容器中，远离湿气运输：须贴“毒品”标签，航空、铁路限量运输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