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(2524-04-1)0,0-二乙基硫代磷酰氯安全技术说明书MSDS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中文名：0,0-二乙基硫代磷酰氯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英文名：0，0-Diethylthiophosphorylchloride；Diethylchlorothiophosphate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分子式：C₄H₁₀ClO₂PS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分子量：188.61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危险性类别：急性毒性-经皮,类别3;急性毒性-吸入,类别2;皮肤腐蚀/刺激,类别1B;严重眼损伤/眼刺激,类别1;危害水生环境-急性危害,类别2;危害水生环境-长期危害,类别2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CAS号：2524-04-1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溶解性：不溶于水，易溶于苯、乙醚、脂肪等多数有机溶剂。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沸点：（℃）85／1．33kPa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饱和蒸气压（kPa）：0．68／70℃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燃烧性：第8．1类酸性腐蚀品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危险特性：遇明火、高热可燃。受高热分解。若遇高热可发生剧烈分解，引起容器破裂或爆炸事故。有腐蚀性。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灭火方法：泡沫、二氧化碳、砂土、干粉。禁止用水。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毒性：LD50：LD50：1340mg／kg(大鼠经口)LO50：20ppm4小时(大鼠吸入)LC50：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脱去污染的衣着，用肥皂水及清水彻底冲洗。若有灼伤，就医治疗。</w:t>
              <w:br/>
              <w:t>※眼睛接触：  立即提起眼睑，用流动清水或生理盐水冲洗至少15分钟。就医。</w:t>
              <w:br/>
              <w:t>※吸入：  迅速脱离现场至空气新鲜处。保持呼吸道通畅。必要时进行人工呼吸。就医。</w:t>
              <w:br/>
              <w:t>※食入：  患者清醒时立即漱口，给饮牛奶或蛋清。就医。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中国MAC：中国MAC：未制定标准苏联MAC：未制定标准美国TWA：未制定标准美国STEL：未制定标准  前苏联MAC：   TLVTN：  TLVWN：</w:t>
              <w:br/>
              <w:t>※工程控制：密闭操作，局部排风。尽可能机械化、自动化。</w:t>
              <w:br/>
              <w:t>※呼吸系统防护：可能接触其蒸气时，必须佩带防毒面具。紧急事态抢救或逃生时，建议佩带自给式呼吸器。</w:t>
              <w:br/>
              <w:t>※眼睛防护:戴化学安全防护眼镜。</w:t>
              <w:br/>
              <w:t>※身体防护：穿工作服(防腐材料制作)。</w:t>
              <w:br/>
              <w:t>※手防护：戴橡皮手套。</w:t>
              <w:br/>
              <w:t>※其他防护：工作后，淋浴更衣。单独存放被毒物污染的衣服，洗后再用。保持良好的卫生习惯。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建议应急处理人员戴正压自给式呼吸器，穿厂商特别推荐的化学防护服(完全隔离)。不要直接接触泄漏物，在确保安全情况下堵漏。喷雾状水，减少蒸发。用沙土、蛭石或其它惰性材料吸收，然后收集运至废物处理场所处置。也可以用不燃性分散剂制成的乳液刷洗，经稀释的洗水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防止阳光直射。保持容器密封。应与氧化剂、碱类、食用化工原料分开存放。分装和搬运作业要注意个人防护。搬运时要轻装轻卸，防止包装及容器损坏。运输按规定路线行驶，勿在居民区和人口稠密区停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