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(7440-43-9)镉安全技术说明书MSDS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危险性类别：急性毒性-吸入,类别2*;生殖细胞致突变性,类别2;致癌性,类别1A;生殖毒性,类别2;特异性靶器官毒性-反复接触,类别1;危害水生环境-急性危害,类别1;危害水生环境-长期危害,类别1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危化品编号：817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CAS号：7440-43-9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外观性状：呈银白色,略带淡蓝光泽,质软,富有延展性。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相对密度（水＝1）：8.64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饱和蒸气压（kPa）：0.13(394℃)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氧化剂、酸类、硫、锌、钾等。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危险特性：其粉体遇高热、明火能燃烧甚至爆炸。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镉烟雾，可引起急性肺水肿和化学性肺炎。个别病例可伴有肝、肾损害。对眼有刺激性。用镀镉器调制或贮存酸性食物或饮料，食入后可引起急性中毒症状。有恶心、呕吐、腹痛、腹泻、大汗、虚脱，甚至抽搐、休克。长期吸入较高浓度镉引起职业性慢性镉中毒。临床表现有肺气肿、嗅觉丧失、牙釉黄色环、肾损害、骨软化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前苏联MAC：0.05，0.01[班平均]   TLVTN：ACGIH0.01mg/m³  TLVWN：未制订标准</w:t>
              <w:br/>
              <w:t>※工程控制：一般不需要特殊防护，但需防止烟尘危害。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隔离泄漏污染区，限制出入。切断火源。建议应急处理人员戴防尘面具（全面罩），穿防毒服。用洁净的铲子收集于干燥、洁净、有盖的容器中。若大量泄漏，收集回收。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