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(80-43-3)过氧化二异丙苯[工业纯][含量＞42%,带有惰性固体]过氧化二枯基硫化剂DCP过氧化二枯茗安全技术说明书MSDS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中文名：过氧化二异丙苯[工业纯][含量＞42%,带有惰性固体]过氧化二枯基硫化剂DCP过氧化二枯茗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英文名：ISOPROPYLBENZENEPEROXIDE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分子式：C₁₈H₂₂O₂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分子量：270.37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危险性类别：有机过氧化物,F型;皮肤腐蚀/刺激,类别2;严重眼损伤/眼刺激,类别2;危害水生环境-急性危害,类别1;危害水生环境-长期危害,类别1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危化品编号：883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CAS号：80-43-3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外观性状：白色无臭透明的菱形结晶，见光或受热不稳定。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溶解性：不溶于水，能溶于乙醇、丙酮等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相对密度（水＝1）：1.082（20℃）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闪点：127℃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危险特性：受热、光照，猛烈撞击，或遇明火有引起燃烧爆炸的危险。强氧化剂，与强酸类、胺类、还原剂、可燃物、有机化合物、铜合金、铅、铁等物质和金属接触发生反应。受热或受污染会发生爆炸。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可使用的灭火剂为雾状水、砂土。蒸气比空气重，易在低处聚集。封闭区域内的蒸气遇火能爆炸。蒸气能扩散到远处，遇点火源着火，并引起回燃。储存容器及其部件可能向四面八方飞射很远。如果该物质或被污染的流体进入水路，通知有潜在水体污染的下游用户，通知地方卫生、消防官员和污染控制部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本品吸入、口服或经皮肤吸收对身体有害。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迅速脱去被污染的衣着，用大量流动清水冲洗至少15分钟。注意患者保暖并且保持安静。确保医务人员了解该物质相关的个体防护知识，注意自身防护。</w:t>
              <w:br/>
              <w:t>※眼睛接触：  立即翻开眼睑，用大量流动清水或生理盐水冲洗至少15分钟，严重者立即就医。</w:t>
              <w:br/>
              <w:t>※吸入：  迅速脱离现场至空气新鲜处，保持呼吸道畅通，如呼吸困难，给输氧；如呼吸停止，立即进行人工呼吸，并立即就医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周围设警告标志，切断火源。应急处理人员戴好防毒面具，穿化学防护服。用惰性的、潮湿的、不燃的材料吸收，然后收集运至废物处理场所处置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应单独存放于一个仓间，避光保存，远离火种及热源，最高仓温不宜超过30℃；应与还原剂、易燃物（如硫磷、木炭等）、其他有机物分仓间存放，严禁混放混运；包装要密封，搬运时轻装轻卸，严禁震动、撞击；防止包装损坏；储期不易过长。ERG指南：145ERG指南分类：有机过氧化物(对热和杂质敏感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