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(298-12-4)乙醛酸甲酰甲酸水合乙醛酸氧代乙酸醛基甲酸甲酰基甲酸安全技术说明书MSDS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中文名：乙醛酸甲酰甲酸水合乙醛酸氧代乙酸醛基甲酸甲酰基甲酸   俗称（别名）：</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英文名：glyoxalicacid;oxoaceticacid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分子式：C₂H₂O₃</w:t>
            </w:r>
          </w:p>
        </w:tc>
        <w:tc>
          <w:tcPr>
            <w:tcW w:w="2033" w:type="dxa"/>
            <w:tcBorders>
              <w:top w:val="single" w:color="auto" w:sz="4" w:space="0"/>
              <w:left w:val="single" w:color="auto" w:sz="4" w:space="0"/>
              <w:bottom w:val="single" w:color="auto" w:sz="4" w:space="0"/>
              <w:right w:val="single" w:color="auto" w:sz="4" w:space="0"/>
            </w:tcBorders>
            <w:vAlign w:val="center"/>
          </w:tcPr>
          <w:p>
            <w:r>
              <w:t>分子量：70.04</w:t>
            </w:r>
          </w:p>
        </w:tc>
        <w:tc>
          <w:tcPr>
            <w:tcW w:w="2363" w:type="dxa"/>
            <w:tcBorders>
              <w:top w:val="single" w:color="auto" w:sz="4" w:space="0"/>
              <w:left w:val="single" w:color="auto" w:sz="4" w:space="0"/>
              <w:bottom w:val="single" w:color="auto" w:sz="4" w:space="0"/>
              <w:right w:val="single" w:color="auto" w:sz="4" w:space="0"/>
            </w:tcBorders>
            <w:vAlign w:val="center"/>
          </w:tcPr>
          <w:p>
            <w:r>
              <w:t>UN编号：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危化品编号：0</w:t>
              <w:br/>
              <w:t>危规号：</w:t>
            </w:r>
          </w:p>
        </w:tc>
        <w:tc>
          <w:tcPr>
            <w:tcW w:w="2363" w:type="dxa"/>
            <w:tcBorders>
              <w:top w:val="single" w:color="auto" w:sz="4" w:space="0"/>
              <w:left w:val="single" w:color="auto" w:sz="4" w:space="0"/>
              <w:bottom w:val="single" w:color="auto" w:sz="4" w:space="0"/>
              <w:right w:val="single" w:color="auto" w:sz="4" w:space="0"/>
            </w:tcBorders>
            <w:vAlign w:val="center"/>
          </w:tcPr>
          <w:p>
            <w:r>
              <w:t>CAS号：298-12-4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外观性状：水溶液为无色透明液体。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溶解性：溶于水，微溶于乙醇、乙醚和苯。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溶点：（℃）半水物70-75；无水物98</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毒性：LD50：LC50：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w:t>
              <w:br/>
              <w:t>※眼睛接触：</w:t>
              <w:br/>
              <w:t>※吸入：</w:t>
              <w:br/>
              <w:t>※食入：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  前苏联MAC：   TLVTN：  TLVWN：</w:t>
              <w:br/>
              <w:t>※工程控制：</w:t>
              <w:br/>
              <w:t>※呼吸系统防护：</w:t>
              <w:br/>
              <w:t>※眼睛防护:</w:t>
              <w:br/>
              <w:t>※身体防护：</w:t>
              <w:br/>
              <w:t>※手防护：</w:t>
              <w:br/>
              <w:t>※其他防护：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