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(302-01-2)联氨肼安全技术说明书MSDS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中文名：联氨肼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英文名：Hydrazine；Diamine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分子量：32．05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经皮,类别3*;急性毒性-吸入,类别3*;皮肤腐蚀/刺激,类别1B;严重眼损伤/眼刺激,类别1;皮肤致敏物,类别1;致癌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CAS号：302-01-2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外观性状：无色、有类似氨的刺鼻气味、液体。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溶解性：不溶于乙醚、氯仿、苯，与水混溶，可混溶于甲醇、乙醇、丙酮等。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溶点：（℃）1．4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相对密密度（空气＝1）：1．1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饱和蒸气压（kPa）：1．33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临界压力（MPa）：冰点为2℃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燃烧性：第3．3类高闪点易燃液体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爆炸下限%(v/v)：2．9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引燃温度：270℃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氧化剂、氧、铜、锌、易燃或可燃物。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还原性，其蒸气极易燃烧爆炸。与氧化剂能发生强烈反应，引起燃烧或爆炸。与空气能形成爆炸性混合物。高化学活性还原剂和强碱，接触多孔物质如木材、服装、锈蚀金属或土壤会发生自燃。铁或铜的氧化物，锰、铅、铜或其合金能引起燃烧和爆炸。与酸和卤素接触发生剧烈反应。对玻璃和橡胶有强腐蚀性。腐蚀软木、某些塑料和涂料。在缺氧条件下可以继续燃烧。易燃性(红色)：3化学活性(黄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雾状水、泡沫、二氧化碳、干粉、砂土。消防器具(包括SCBA)不能提供足够有效的防护。若不小心接触，立即撤离现场，隔离器具，对人员彻底清污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毒性：LD50：属中等毒类，主要损害中枢神经系统及刺激皮肤、粘膜。LD50：大鼠吸入：60mg／kgLC50：大鼠吸入：750mg／m³，4小时LC50：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多由皮肤、创面大量吸收或误服引起。接触肼蒸气的人员可能有眼、鼻、咽喉明显刺激症状；直接接触肼的液体，引起皮肤和眼的严重灼伤；误服后引起恶心、呕吐，持续数小时。以后出现暂时性中枢性呼吸抑制、心律紊乱以及中枢神经系统症状，如嗜睡、共济失调，甚至抽搐、昏迷等。部分病人有肝功能损害，长期接触者，有的出现神衰征候群，肝肿大及肝功能异常。IARC评价：2B组；可疑人类致癌物；人类证据不足；动物证据充分NTP：可疑人类致癌物IDLH：50ppm；潜在人类致癌物嗅阈：3．6ppmOSHA：表Z―1空气污染物NIOSH标准文件：NIOSH78―172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立即脱去污染的衣着，用流动清水冲洗。若有灼伤，就医治疗。注意患者保暖并且保持安静。吸入、食入或皮肤接触该物质可引起迟发反应。确保医务人员了解该物质相关的个体防护知识，注意自身防护。</w:t>
              <w:br/>
              <w:t>※眼睛接触：  立即翻开上下眼睑，用流动清水冲洗15分钟。就医。</w:t>
              <w:br/>
              <w:t>※吸入：  脱离现场至空气新鲜处。呼吸困难时给输氧。呼吸停止时，立即进行人工呼吸。就医。如果患者食入或吸入该物质不要用口对口进行人工呼吸，可用单向阀小型呼吸器或其他适当的医疗呼吸器。</w:t>
              <w:br/>
              <w:t>※食入：  误服者用水漱口，给饮牛奶或蛋清。就医。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中国MAC：中国MAC：未制订标准前苏联MAC：0．1mg／m³美国TLV―TWA：0．1mg／m³美国TLV―STEL：未制订标准  前苏联MAC：   TLVTN：  TLVWN：</w:t>
              <w:br/>
              <w:t>※工程控制：严加密闭，提供充分的局部排风和全面排风。</w:t>
              <w:br/>
              <w:t>※呼吸系统防护：空气中浓度较高时，佩带防毒面具。高于NIOSHREL浓度或尚未建立REL，任何可检测浓度下：自携式正压全面罩呼吸器、供气式正压全面罩呼吸器辅之以辅助自携式正压呼吸器。逃生：自携式逃生呼吸器。</w:t>
              <w:br/>
              <w:t>※眼睛防护:戴化学安全防护眼镜。</w:t>
              <w:br/>
              <w:t>※身体防护：穿防酸碱工作服。</w:t>
              <w:br/>
              <w:t>※手防护：戴防化学品手套。</w:t>
              <w:br/>
              <w:t>※其他防护：工作现场禁止吸烟、进食和饮水。工作后，淋浴更衣。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戴自给式呼吸器，穿化学防护服。不要直接接触泄漏物，在确保安全情况下堵漏。用大量水冲洗，经稀释的洗液放入废水系统。如大量泄漏，利用围堤收容，然后收集、转移、回收或无害处理后废弃。环境信息：防止空气污染法：防事故泄漏／可燃物(款112(r)表3)，临界值(TO)6810kg。EPA有害废物代码：U133。资源保护和回收法：款261，有毒物或无其他规定。应急计划和社区知情权法：款302极端有害物质，临界规划值(TPQ)454kg。应急计划和社区知情权法：款304应报告量0．454kg。应急计划和社区知情权法：款313表R最低应报告浓度0．1％。加州建议65：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仓温不宜超过30℃。防止阳光直射。保持容器密封。在氮气中操作处置。应与氧化剂、酸类分开存放。储存间内的照明、通风等设施应采用防爆型。禁止使用易产生火花的机械设备和工具。搬运时要轻装轻卸，避免碰撞、翻倒，防止包装破损洒漏。ERG指南：132(UN2029)；153(UN2030)；152(UN3293)ERG指南分类：易燃液体―腐蚀性的有毒和／或腐蚀性物质(可燃的)毒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