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(1332-21-4)石棉安全技术说明书MSDS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中文名：石棉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英文名：asbestos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危险性类别：生殖细胞致突变性,类别2;致癌性,类别1A;特异性靶器官毒性-反复接触,类别1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危化品编号：1963</w:t>
              <w:br/>
              <w:t>危规号：61906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CAS号：1332-21-4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外观性状：白、灰、绿或褐色的纤维状。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溶点：（℃）&gt;1000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燃烧性：本品不燃，有毒，为致癌物。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危险特性：未有特殊的燃烧爆炸特性。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长期接触石棉者可引起石棉肺，病人有咳嗽、胸痛、呼吸困难等。晚期并发肺心病，出现水肿等心力衰竭现象。本品有致癌性，可引起肺癌和胸膜间皮瘤。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</w:t>
              <w:br/>
              <w:t>※食入：  饮足量温水，催吐。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中国MAC：2  前苏联MAC：未制定标准   TLVTN：未制定标准  TLVWN：未制定标准</w:t>
              <w:br/>
              <w:t>※工程控制：密闭操作，局部排风。最好采用湿式操作。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隔离泄漏污染区，限制出入。建议应急处理人员戴自给正压式呼吸器，穿防毒服。用洁净的铲子收集于干燥、洁净、有盖的容器中，转移至安全场所。若大量泄漏，收集回收或运至废物处理场所处置。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