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(1314-41-6)四氧化三铅安全技术说明书MSDS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中文名：四氧化三铅   俗称（别名）：红丹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英文名：leadtetroxide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分子式：Pb₃O₄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分子量：685.60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危险性类别：致癌性,类别1B;生殖毒性,类别1A;特异性靶器官毒性-一次接触,类别1;特异性靶器官毒性-反复接触,类别1;危害水生环境-急性危害,类别1;危害水生环境-长期危害,类别1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危化品编号：2089</w:t>
              <w:br/>
              <w:t>危规号：61507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CAS号：1314-41-6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外观性状：鲜桔红色粉末或块状固体。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溶解性：不溶于水，溶于热碱液、稀硝酸、乙酸、盐酸。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毒性：LD50：630mg/kg(大鼠腹腔)；220mg/kg(豚鼠腹腔)LC50：无资料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、消化系统及肾脏。职业中毒主要为慢性。神经系统主要表现为神经衰弱综合征、周围神经病(以运动功能受累较明显)，重者出现铅中毒性脑病。消化系统表现有齿龈铅线、食欲不振、恶心、腹胀、腹泻或便秘；腹绞痛见于中度及重度中毒病例。造血系统损害出现卟啉代谢障碍、贫血等。短时大量接触可发生急性或亚急性中毒，表现类似重症慢性铅中毒。对肾脏损害多见于急性、亚急性或较重慢性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中国MAC：0.03[烟]，0.05[尘]  前苏联MAC：未制定标准   TLVTN：OSHA0.05mg[Pb]/m³;ACGIH0.15mg[Pb]/m³  TLVWN：未制定标准</w:t>
              <w:br/>
              <w:t>※工程控制：密闭操作，局部排风。提供安全淋浴和洗眼设备。</w:t>
              <w:br/>
              <w:t>※呼吸系统防护：空气中粉尘浓度超标时，作业工人应该佩戴自吸过滤式防尘口罩。必要时，佩戴空气呼吸器、氧气呼吸器或长管面具。</w:t>
              <w:br/>
              <w:t>※眼睛防护:一般不需特殊防护。必要时，戴安全防护眼镜。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储存于阴凉、通风的库房。远离火种、热源。库温不超过30℃，相对湿度不超过80％。应与还原剂、食用化学品分开存放，切忌混储。储区应备有合适的材料收容泄漏物。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