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(546-68-9)钛酸四异丙酯钛酸异丙酯安全技术说明书MSDS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中文名：钛酸四异丙酯钛酸异丙酯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英文名：Tetraisopropyltitanate；Isopropyltitanate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分子式：C₁₂H₂₈O₄Ti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分子量：284.26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UN编号：1992，易燃液体，有毒的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危化品编号：2105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CAS号：546-68-9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外观性状：无色至淡黄色液体，在潮湿空气中发烟。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相对密密度（空气＝1）：9．8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饱和蒸气压（kPa）：1．33／104℃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燃烧性：第3．2类中闪点易燃液体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危险特性：遇高热、明火或与氧化剂接触，有引起燃烧的危险。遇水或水蒸气反应放出有毒的或易燃的气体。若遇高热，容器内压增大，有开裂和爆炸的危险。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干粉、砂土。蒸气比空气重，易在低处聚集。封闭区域内的蒸气遇火能爆炸。蒸气能扩散到远处，遇点火源着火，并引起回燃。储存容器及其部件可能向四面八方飞射很远。如果该物质或被污染的流体进入水路，通知有潜在水体污染的下游用户，通知地方卫生、消防官员和污染控制部门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毒性：LD50：LD50：7460mg／kg(大鼠经口)LC50：该物质对环境有危害，应特别注意对水体的污染。LC50：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对眼睛、皮肤可能引起刺激作用，吸入、摄入或经皮吸收可能对身体有害。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对少量皮肤接触，避免将物质播散面积扩大。注意患者保暖并且保持安静。吸入、食入或皮肤接触该物质可引起迟发反应。确保医务人员了解该物质相关的个体防护知识，注意自身防护。</w:t>
              <w:br/>
              <w:t>※眼睛接触：  立即提起眼睑，用流动清水冲洗。</w:t>
              <w:br/>
              <w:t>※吸入：  脱离现场至空气新鲜处。必要时进行人工呼吸；就医。如果呼吸困难，给予吸氧。</w:t>
              <w:br/>
              <w:t>※食入：  误服者给饮大量温水，催吐，就医。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中国MAC：中国MAC：未制定标准苏联MAC：未制定标准美国TWA：未制定标准美国STEL：未制定标准  前苏联MAC：   TLVTN：  TLVWN：</w:t>
              <w:br/>
              <w:t>※工程控制：生产过程密闭，全面通风。</w:t>
              <w:br/>
              <w:t>※呼吸系统防护：高浓度环境中，应该佩带防毒口罩。必要时佩带自给式呼吸器。</w:t>
              <w:br/>
              <w:t>※眼睛防护:戴化学安全防护眼镜。</w:t>
              <w:br/>
              <w:t>※身体防护：穿相应的防护服。</w:t>
              <w:br/>
              <w:t>※手防护：戴防化学品手套。</w:t>
              <w:br/>
              <w:t>※其他防护：工作现场严禁吸烟。工作后，淋浴更衣。注意个人清洁卫生。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苯人员进入污染区，切断火源。建议应急处理人员戴自给式呼吸器，穿一般消防防护服。在确保安全情况下堵漏。用活性炭或其它惰性材料吸收，收集运至废物处理场所处置。也可以用不燃性分散剂制成的乳液刷洗，经稀释的洗水放入废水系统。如大量泄漏，利用围堤收容，然后收集、转移、回收或无害处理后废弃。法规信息：化学危险品安全管理条例（1987年2月17日国务院发布），化学危险品安全管理条例实施细则（化劳发[1992]677号），工作场所安全使用化学危险品规定[1996]劳部发423号）法规，针对化学危险品的安全使用、生产、储存、运输、装卸等方面均作了相应规定；常用危险化学品的分类及标志（GB13690－92）将该物质划为第3.2类中闪点易燃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高燥清洁的仓间内。远离火种、热源。仓温不宜超过30℃。防止阳光直射。包装必须密封，切勿受潮。应与氧化剂分开存放。储存间内的照明、通风等设施应采用防爆型，开关设在仓外。配备相应品种和数量的消防器材。禁止使用易产生火花的机械设备和工具。定期检查是否有泄漏现象。搬运时要轻装轻卸，防止包装及容器损坏。废弃：处置前参阅国家和地方有关法规。废物储存参见“储运注意事项”。用控制焚烧法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