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(608-93-5)五氯苯安全技术说明书MSDS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英文名：PENTACHLOROBENZENE；PCB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分子式：C₆HCl₅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危化品编号：2143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CAS号：608-93-5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外观性状：无色晶体，具芳香味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溶点：（℃）82～85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沸点：（℃）275～277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相对密度（水＝1）：1.834(16)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热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喂服怀孕大鼠表明，除降低胎儿体重、影响胎儿发育外，无其他危害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立即脱下被污染衣服，用肥皂水、冲洗皮肤患处</w:t>
              <w:br/>
              <w:t>※眼睛接触：  用大量清水或盐水冲洗20～30分钟，就医</w:t>
              <w:br/>
              <w:t>※吸入：  将患者移至新鲜空气处，出现咳嗽、呼吸困难等症状则立即就医</w:t>
              <w:br/>
              <w:t>※食入：  给饮1～2杯水或牛奶，确保患者气道畅通；是否催吐应遵医嘱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用酒精浸湿泄漏物，避免粉尘扩散，并收集于专用的容器内，用沾有酒精的吸收剂吸附剩余物，用肥皂、水冲洗表面；把所有废弃物装入塑料袋中，待处理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存于凉爽、干燥处，亦可存于冰箱或冷藏室中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