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大标宋简体" w:hAnsi="黑体" w:eastAsia="方正大标宋简体"/>
          <w:sz w:val="44"/>
          <w:szCs w:val="44"/>
        </w:rPr>
      </w:pPr>
      <w:bookmarkStart w:id="0" w:name="_GoBack"/>
      <w:bookmarkEnd w:id="0"/>
    </w:p>
    <w:p>
      <w:pPr>
        <w:spacing w:line="540" w:lineRule="exact"/>
        <w:jc w:val="center"/>
        <w:rPr>
          <w:rFonts w:ascii="方正大标宋简体" w:hAnsi="黑体" w:eastAsia="方正大标宋简体"/>
          <w:sz w:val="44"/>
          <w:szCs w:val="44"/>
        </w:rPr>
      </w:pPr>
    </w:p>
    <w:p>
      <w:pPr>
        <w:spacing w:line="540" w:lineRule="exact"/>
        <w:jc w:val="center"/>
        <w:rPr>
          <w:rFonts w:ascii="方正大标宋简体" w:hAnsi="黑体" w:eastAsia="方正大标宋简体"/>
          <w:sz w:val="44"/>
          <w:szCs w:val="44"/>
        </w:rPr>
      </w:pPr>
      <w:r>
        <w:rPr>
          <w:rFonts w:hint="eastAsia" w:ascii="方正大标宋简体" w:hAnsi="黑体" w:eastAsia="方正大标宋简体"/>
          <w:sz w:val="44"/>
          <w:szCs w:val="44"/>
        </w:rPr>
        <w:t>中国石化危险化学品</w:t>
      </w:r>
    </w:p>
    <w:p>
      <w:pPr>
        <w:spacing w:line="540" w:lineRule="exact"/>
        <w:jc w:val="center"/>
        <w:rPr>
          <w:rFonts w:ascii="方正大标宋简体" w:hAnsi="黑体" w:eastAsia="方正大标宋简体"/>
          <w:sz w:val="44"/>
          <w:szCs w:val="44"/>
        </w:rPr>
      </w:pPr>
      <w:r>
        <w:rPr>
          <w:rFonts w:hint="eastAsia" w:ascii="方正大标宋简体" w:hAnsi="黑体" w:eastAsia="方正大标宋简体"/>
          <w:sz w:val="44"/>
          <w:szCs w:val="44"/>
        </w:rPr>
        <w:t>重大危险源辨识指导意见</w:t>
      </w:r>
    </w:p>
    <w:p>
      <w:pPr>
        <w:spacing w:line="540" w:lineRule="exact"/>
        <w:ind w:firstLine="601"/>
        <w:rPr>
          <w:rFonts w:ascii="方正大标宋简体" w:hAnsi="黑体" w:eastAsia="方正大标宋简体"/>
          <w:sz w:val="44"/>
          <w:szCs w:val="44"/>
        </w:rPr>
      </w:pPr>
    </w:p>
    <w:p>
      <w:pPr>
        <w:spacing w:line="540" w:lineRule="exact"/>
        <w:ind w:firstLine="643" w:firstLineChars="200"/>
        <w:rPr>
          <w:rFonts w:ascii="黑体" w:hAnsi="黑体" w:eastAsia="黑体"/>
          <w:b/>
          <w:sz w:val="32"/>
          <w:szCs w:val="32"/>
        </w:rPr>
      </w:pPr>
      <w:r>
        <w:rPr>
          <w:rFonts w:hint="eastAsia" w:ascii="黑体" w:hAnsi="黑体" w:eastAsia="黑体"/>
          <w:b/>
          <w:sz w:val="32"/>
          <w:szCs w:val="32"/>
        </w:rPr>
        <w:t>1  总则</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1.1  为落实《危险化学品重大危险源辨识》</w:t>
      </w:r>
      <w:r>
        <w:rPr>
          <w:rFonts w:hint="eastAsia" w:ascii="仿宋_GB2312" w:eastAsia="仿宋_GB2312" w:hAnsiTheme="minorEastAsia"/>
          <w:b/>
          <w:spacing w:val="-20"/>
          <w:sz w:val="32"/>
          <w:szCs w:val="32"/>
        </w:rPr>
        <w:t>（</w:t>
      </w:r>
      <w:r>
        <w:rPr>
          <w:rFonts w:ascii="仿宋_GB2312" w:eastAsia="仿宋_GB2312" w:hAnsiTheme="minorEastAsia"/>
          <w:b/>
          <w:sz w:val="32"/>
          <w:szCs w:val="32"/>
        </w:rPr>
        <w:t>GB18218-2018</w:t>
      </w:r>
      <w:r>
        <w:rPr>
          <w:rFonts w:hint="eastAsia" w:ascii="仿宋_GB2312" w:eastAsia="仿宋_GB2312" w:hAnsiTheme="minorEastAsia"/>
          <w:b/>
          <w:sz w:val="32"/>
          <w:szCs w:val="32"/>
        </w:rPr>
        <w:t>）（以下简称《标准》）要求，指导各单位更好的开展危险化学品重大危险源辨识和分级，特制定本指导意见。</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1.2  本指导意见针对试点过程中发现的问题，与《标准》主要起草单位进行了专题讨论，旨在对试点过程中遇到的问题和存在歧义的内容进行统一规定，其他未涉及内容应严格执行《标准》要求。</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1.3  各单位及第三方评价机构开展重大危险源辨识时应严格执行本指导意见。</w:t>
      </w:r>
    </w:p>
    <w:p>
      <w:pPr>
        <w:spacing w:line="540" w:lineRule="exact"/>
        <w:ind w:firstLine="643" w:firstLineChars="200"/>
        <w:rPr>
          <w:rFonts w:ascii="仿宋_GB2312" w:eastAsia="仿宋_GB2312" w:hAnsiTheme="minorEastAsia"/>
          <w:b/>
          <w:sz w:val="32"/>
          <w:szCs w:val="32"/>
        </w:rPr>
      </w:pPr>
      <w:r>
        <w:rPr>
          <w:rFonts w:hint="eastAsia" w:ascii="黑体" w:hAnsi="黑体" w:eastAsia="黑体"/>
          <w:b/>
          <w:sz w:val="32"/>
          <w:szCs w:val="32"/>
        </w:rPr>
        <w:t>2  单元</w:t>
      </w:r>
      <w:r>
        <w:rPr>
          <w:rFonts w:ascii="黑体" w:hAnsi="黑体" w:eastAsia="黑体"/>
          <w:b/>
          <w:sz w:val="32"/>
          <w:szCs w:val="32"/>
        </w:rPr>
        <w:t>划分</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2.1  生产单元划分</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2.1.1  生产单元按独立</w:t>
      </w:r>
      <w:r>
        <w:rPr>
          <w:rFonts w:ascii="仿宋_GB2312" w:eastAsia="仿宋_GB2312" w:hAnsiTheme="minorEastAsia"/>
          <w:b/>
          <w:sz w:val="32"/>
          <w:szCs w:val="32"/>
        </w:rPr>
        <w:t>的</w:t>
      </w:r>
      <w:r>
        <w:rPr>
          <w:rFonts w:hint="eastAsia" w:ascii="仿宋_GB2312" w:eastAsia="仿宋_GB2312" w:hAnsiTheme="minorEastAsia"/>
          <w:b/>
          <w:sz w:val="32"/>
          <w:szCs w:val="32"/>
        </w:rPr>
        <w:t>生产装置或</w:t>
      </w:r>
      <w:r>
        <w:rPr>
          <w:rFonts w:ascii="仿宋_GB2312" w:eastAsia="仿宋_GB2312" w:hAnsiTheme="minorEastAsia"/>
          <w:b/>
          <w:sz w:val="32"/>
          <w:szCs w:val="32"/>
        </w:rPr>
        <w:t>单元</w:t>
      </w:r>
      <w:r>
        <w:rPr>
          <w:rFonts w:hint="eastAsia" w:ascii="仿宋_GB2312" w:eastAsia="仿宋_GB2312" w:hAnsiTheme="minorEastAsia"/>
          <w:b/>
          <w:sz w:val="32"/>
          <w:szCs w:val="32"/>
        </w:rPr>
        <w:t>划分。独立的生产装置（包括</w:t>
      </w:r>
      <w:r>
        <w:rPr>
          <w:rFonts w:ascii="仿宋_GB2312" w:eastAsia="仿宋_GB2312" w:hAnsiTheme="minorEastAsia"/>
          <w:b/>
          <w:sz w:val="32"/>
          <w:szCs w:val="32"/>
        </w:rPr>
        <w:t>联合装置</w:t>
      </w:r>
      <w:r>
        <w:rPr>
          <w:rFonts w:hint="eastAsia" w:ascii="仿宋_GB2312" w:eastAsia="仿宋_GB2312" w:hAnsiTheme="minorEastAsia"/>
          <w:b/>
          <w:sz w:val="32"/>
          <w:szCs w:val="32"/>
        </w:rPr>
        <w:t>）或单元</w:t>
      </w:r>
      <w:r>
        <w:rPr>
          <w:rFonts w:ascii="仿宋_GB2312" w:eastAsia="仿宋_GB2312" w:hAnsiTheme="minorEastAsia"/>
          <w:b/>
          <w:sz w:val="32"/>
          <w:szCs w:val="32"/>
        </w:rPr>
        <w:t>划分为一个生产单元。</w:t>
      </w:r>
      <w:r>
        <w:rPr>
          <w:rFonts w:hint="eastAsia" w:ascii="仿宋_GB2312" w:eastAsia="仿宋_GB2312" w:hAnsiTheme="minorEastAsia"/>
          <w:b/>
          <w:sz w:val="32"/>
          <w:szCs w:val="32"/>
        </w:rPr>
        <w:t>独立的生产装置（包括联合装置）或单元是指生产装置或单元与其周边装置、设施之间防火间距满足标准规定。</w:t>
      </w:r>
    </w:p>
    <w:p>
      <w:pPr>
        <w:tabs>
          <w:tab w:val="left" w:pos="3828"/>
        </w:tabs>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2.1.2  装置储罐组（生产装置中间罐组）独立成区布置，其与周边装置、设施之间防火间距满足标准规定，且储罐与生产装置之间有切断阀时，装置储罐组按照储存单元划分方法划分单元。</w:t>
      </w:r>
    </w:p>
    <w:p>
      <w:pPr>
        <w:tabs>
          <w:tab w:val="left" w:pos="3828"/>
        </w:tabs>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2.2  储存单元划分</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2.2.1  储罐区以罐区防火堤为界限划分为独立的单元。</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2.2.2  仓库以独立库房（独立建筑物）为界限划分为独立的单元。</w:t>
      </w:r>
    </w:p>
    <w:p>
      <w:pPr>
        <w:spacing w:line="540" w:lineRule="exact"/>
        <w:ind w:firstLine="643" w:firstLineChars="200"/>
        <w:rPr>
          <w:rFonts w:ascii="仿宋_GB2312" w:eastAsia="仿宋_GB2312" w:hAnsiTheme="minorEastAsia"/>
          <w:b/>
          <w:sz w:val="32"/>
          <w:szCs w:val="32"/>
        </w:rPr>
      </w:pPr>
      <w:r>
        <w:rPr>
          <w:rFonts w:hint="eastAsia" w:ascii="黑体" w:hAnsi="黑体" w:eastAsia="黑体"/>
          <w:b/>
          <w:sz w:val="32"/>
          <w:szCs w:val="32"/>
        </w:rPr>
        <w:t>3</w:t>
      </w:r>
      <w:r>
        <w:rPr>
          <w:rFonts w:ascii="黑体" w:hAnsi="黑体" w:eastAsia="黑体"/>
          <w:b/>
          <w:sz w:val="32"/>
          <w:szCs w:val="32"/>
        </w:rPr>
        <w:t xml:space="preserve"> </w:t>
      </w:r>
      <w:r>
        <w:rPr>
          <w:rFonts w:hint="eastAsia" w:ascii="黑体" w:hAnsi="黑体" w:eastAsia="黑体"/>
          <w:b/>
          <w:sz w:val="32"/>
          <w:szCs w:val="32"/>
        </w:rPr>
        <w:t xml:space="preserve"> 危险</w:t>
      </w:r>
      <w:r>
        <w:rPr>
          <w:rFonts w:ascii="黑体" w:hAnsi="黑体" w:eastAsia="黑体"/>
          <w:b/>
          <w:sz w:val="32"/>
          <w:szCs w:val="32"/>
        </w:rPr>
        <w:t>化学品临界量</w:t>
      </w:r>
      <w:r>
        <w:rPr>
          <w:rFonts w:hint="eastAsia" w:ascii="黑体" w:hAnsi="黑体" w:eastAsia="黑体"/>
          <w:b/>
          <w:sz w:val="32"/>
          <w:szCs w:val="32"/>
        </w:rPr>
        <w:t>确定</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根据危险化学品重大危险源辨识试点情况，结合集团公司生产实际，对炼化企业常见的</w:t>
      </w:r>
      <w:r>
        <w:rPr>
          <w:rFonts w:ascii="仿宋_GB2312" w:eastAsia="仿宋_GB2312" w:hAnsiTheme="minorEastAsia"/>
          <w:b/>
          <w:sz w:val="32"/>
          <w:szCs w:val="32"/>
        </w:rPr>
        <w:t>危险化学品临界量</w:t>
      </w:r>
      <w:r>
        <w:rPr>
          <w:rFonts w:hint="eastAsia" w:ascii="仿宋_GB2312" w:eastAsia="仿宋_GB2312" w:hAnsiTheme="minorEastAsia"/>
          <w:b/>
          <w:sz w:val="32"/>
          <w:szCs w:val="32"/>
        </w:rPr>
        <w:t>进行了确定。详见附件1。</w:t>
      </w:r>
    </w:p>
    <w:p>
      <w:pPr>
        <w:spacing w:line="540" w:lineRule="exact"/>
        <w:ind w:firstLine="643" w:firstLineChars="200"/>
        <w:rPr>
          <w:rFonts w:ascii="黑体" w:hAnsi="黑体" w:eastAsia="黑体"/>
          <w:b/>
          <w:sz w:val="32"/>
          <w:szCs w:val="32"/>
        </w:rPr>
      </w:pPr>
      <w:r>
        <w:rPr>
          <w:rFonts w:hint="eastAsia" w:ascii="黑体" w:hAnsi="黑体" w:eastAsia="黑体"/>
          <w:b/>
          <w:sz w:val="32"/>
          <w:szCs w:val="32"/>
        </w:rPr>
        <w:t>4</w:t>
      </w:r>
      <w:r>
        <w:rPr>
          <w:rFonts w:ascii="黑体" w:hAnsi="黑体" w:eastAsia="黑体"/>
          <w:b/>
          <w:sz w:val="32"/>
          <w:szCs w:val="32"/>
        </w:rPr>
        <w:t xml:space="preserve"> </w:t>
      </w:r>
      <w:r>
        <w:rPr>
          <w:rFonts w:hint="eastAsia" w:ascii="黑体" w:hAnsi="黑体" w:eastAsia="黑体"/>
          <w:b/>
          <w:sz w:val="32"/>
          <w:szCs w:val="32"/>
        </w:rPr>
        <w:t xml:space="preserve"> 单元危险化学品存在</w:t>
      </w:r>
      <w:r>
        <w:rPr>
          <w:rFonts w:ascii="黑体" w:hAnsi="黑体" w:eastAsia="黑体"/>
          <w:b/>
          <w:sz w:val="32"/>
          <w:szCs w:val="32"/>
        </w:rPr>
        <w:t>量</w:t>
      </w:r>
      <w:r>
        <w:rPr>
          <w:rFonts w:hint="eastAsia" w:ascii="黑体" w:hAnsi="黑体" w:eastAsia="黑体"/>
          <w:b/>
          <w:sz w:val="32"/>
          <w:szCs w:val="32"/>
        </w:rPr>
        <w:t>计算原则</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4.1  危险化学品重大危险源辨识只需计算生产、储存</w:t>
      </w:r>
      <w:r>
        <w:rPr>
          <w:rFonts w:ascii="仿宋_GB2312" w:eastAsia="仿宋_GB2312" w:hAnsiTheme="minorEastAsia"/>
          <w:b/>
          <w:sz w:val="32"/>
          <w:szCs w:val="32"/>
        </w:rPr>
        <w:t>单元</w:t>
      </w:r>
      <w:r>
        <w:rPr>
          <w:rFonts w:hint="eastAsia" w:ascii="仿宋_GB2312" w:eastAsia="仿宋_GB2312" w:hAnsiTheme="minorEastAsia"/>
          <w:b/>
          <w:sz w:val="32"/>
          <w:szCs w:val="32"/>
        </w:rPr>
        <w:t>内</w:t>
      </w:r>
      <w:r>
        <w:rPr>
          <w:rFonts w:ascii="仿宋_GB2312" w:eastAsia="仿宋_GB2312" w:hAnsiTheme="minorEastAsia"/>
          <w:b/>
          <w:sz w:val="32"/>
          <w:szCs w:val="32"/>
        </w:rPr>
        <w:t>危险化学品的物质</w:t>
      </w:r>
      <w:r>
        <w:rPr>
          <w:rFonts w:hint="eastAsia" w:ascii="仿宋_GB2312" w:eastAsia="仿宋_GB2312" w:hAnsiTheme="minorEastAsia"/>
          <w:b/>
          <w:sz w:val="32"/>
          <w:szCs w:val="32"/>
        </w:rPr>
        <w:t>存量，非危险</w:t>
      </w:r>
      <w:r>
        <w:rPr>
          <w:rFonts w:ascii="仿宋_GB2312" w:eastAsia="仿宋_GB2312" w:hAnsiTheme="minorEastAsia"/>
          <w:b/>
          <w:sz w:val="32"/>
          <w:szCs w:val="32"/>
        </w:rPr>
        <w:t>化学品不需计算</w:t>
      </w:r>
      <w:r>
        <w:rPr>
          <w:rFonts w:hint="eastAsia" w:ascii="仿宋_GB2312" w:eastAsia="仿宋_GB2312" w:hAnsiTheme="minorEastAsia"/>
          <w:b/>
          <w:sz w:val="32"/>
          <w:szCs w:val="32"/>
        </w:rPr>
        <w:t>。</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4.2  生产单元</w:t>
      </w:r>
      <w:r>
        <w:rPr>
          <w:rFonts w:ascii="仿宋_GB2312" w:eastAsia="仿宋_GB2312" w:hAnsiTheme="minorEastAsia"/>
          <w:b/>
          <w:sz w:val="32"/>
          <w:szCs w:val="32"/>
        </w:rPr>
        <w:t>存在量</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根据</w:t>
      </w:r>
      <w:r>
        <w:rPr>
          <w:rFonts w:ascii="仿宋_GB2312" w:eastAsia="仿宋_GB2312" w:hAnsiTheme="minorEastAsia"/>
          <w:b/>
          <w:sz w:val="32"/>
          <w:szCs w:val="32"/>
        </w:rPr>
        <w:t>统计分析，</w:t>
      </w:r>
      <w:r>
        <w:rPr>
          <w:rFonts w:hint="eastAsia" w:ascii="仿宋_GB2312" w:eastAsia="仿宋_GB2312" w:hAnsiTheme="minorEastAsia"/>
          <w:b/>
          <w:sz w:val="32"/>
          <w:szCs w:val="32"/>
        </w:rPr>
        <w:t>生产单元部分设备设施（如换热器、冷凝器、再沸器、压缩机、机泵、过滤器、物料管线等）危险化学品存量较小，其</w:t>
      </w:r>
      <w:r>
        <w:rPr>
          <w:rFonts w:ascii="仿宋_GB2312" w:eastAsia="仿宋_GB2312" w:hAnsiTheme="minorEastAsia"/>
          <w:b/>
          <w:sz w:val="32"/>
          <w:szCs w:val="32"/>
        </w:rPr>
        <w:t>内</w:t>
      </w:r>
      <w:r>
        <w:rPr>
          <w:rFonts w:hint="eastAsia" w:ascii="仿宋_GB2312" w:eastAsia="仿宋_GB2312" w:hAnsiTheme="minorEastAsia"/>
          <w:b/>
          <w:sz w:val="32"/>
          <w:szCs w:val="32"/>
        </w:rPr>
        <w:t>危险化学品的</w:t>
      </w:r>
      <w:r>
        <w:rPr>
          <w:rFonts w:ascii="仿宋_GB2312" w:eastAsia="仿宋_GB2312" w:hAnsiTheme="minorEastAsia"/>
          <w:b/>
          <w:sz w:val="32"/>
          <w:szCs w:val="32"/>
        </w:rPr>
        <w:t>存在</w:t>
      </w:r>
      <w:r>
        <w:rPr>
          <w:rFonts w:hint="eastAsia" w:ascii="仿宋_GB2312" w:eastAsia="仿宋_GB2312" w:hAnsiTheme="minorEastAsia"/>
          <w:b/>
          <w:sz w:val="32"/>
          <w:szCs w:val="32"/>
        </w:rPr>
        <w:t>量约为本单元主要设备存在量的10%。开展辨识时只需对存量大的主要设备（如塔器、回流罐、反应器、缓冲罐、分离罐等）进行定量计算，将主要设备危险化学品存量再乘以1.1倍数,得出生产</w:t>
      </w:r>
      <w:r>
        <w:rPr>
          <w:rFonts w:ascii="仿宋_GB2312" w:eastAsia="仿宋_GB2312" w:hAnsiTheme="minorEastAsia"/>
          <w:b/>
          <w:sz w:val="32"/>
          <w:szCs w:val="32"/>
        </w:rPr>
        <w:t>单元内</w:t>
      </w:r>
      <w:r>
        <w:rPr>
          <w:rFonts w:hint="eastAsia" w:ascii="仿宋_GB2312" w:eastAsia="仿宋_GB2312" w:hAnsiTheme="minorEastAsia"/>
          <w:b/>
          <w:sz w:val="32"/>
          <w:szCs w:val="32"/>
        </w:rPr>
        <w:t>危险</w:t>
      </w:r>
      <w:r>
        <w:rPr>
          <w:rFonts w:ascii="仿宋_GB2312" w:eastAsia="仿宋_GB2312" w:hAnsiTheme="minorEastAsia"/>
          <w:b/>
          <w:sz w:val="32"/>
          <w:szCs w:val="32"/>
        </w:rPr>
        <w:t>化学品的实际量</w:t>
      </w:r>
      <w:r>
        <w:rPr>
          <w:rFonts w:hint="eastAsia" w:ascii="仿宋_GB2312" w:eastAsia="仿宋_GB2312" w:hAnsiTheme="minorEastAsia"/>
          <w:b/>
          <w:sz w:val="32"/>
          <w:szCs w:val="32"/>
        </w:rPr>
        <w:t>。计算</w:t>
      </w:r>
      <w:r>
        <w:rPr>
          <w:rFonts w:ascii="仿宋_GB2312" w:eastAsia="仿宋_GB2312" w:hAnsiTheme="minorEastAsia"/>
          <w:b/>
          <w:sz w:val="32"/>
          <w:szCs w:val="32"/>
        </w:rPr>
        <w:t>原则</w:t>
      </w:r>
      <w:r>
        <w:rPr>
          <w:rFonts w:hint="eastAsia" w:ascii="仿宋_GB2312" w:eastAsia="仿宋_GB2312" w:hAnsiTheme="minorEastAsia"/>
          <w:b/>
          <w:sz w:val="32"/>
          <w:szCs w:val="32"/>
        </w:rPr>
        <w:t>详</w:t>
      </w:r>
      <w:r>
        <w:rPr>
          <w:rFonts w:ascii="仿宋_GB2312" w:eastAsia="仿宋_GB2312" w:hAnsiTheme="minorEastAsia"/>
          <w:b/>
          <w:sz w:val="32"/>
          <w:szCs w:val="32"/>
        </w:rPr>
        <w:t>见</w:t>
      </w:r>
      <w:r>
        <w:rPr>
          <w:rFonts w:hint="eastAsia" w:ascii="仿宋_GB2312" w:eastAsia="仿宋_GB2312" w:hAnsiTheme="minorEastAsia"/>
          <w:b/>
          <w:sz w:val="32"/>
          <w:szCs w:val="32"/>
        </w:rPr>
        <w:t>附件</w:t>
      </w:r>
      <w:r>
        <w:rPr>
          <w:rFonts w:ascii="仿宋_GB2312" w:eastAsia="仿宋_GB2312" w:hAnsiTheme="minorEastAsia"/>
          <w:b/>
          <w:sz w:val="32"/>
          <w:szCs w:val="32"/>
        </w:rPr>
        <w:t>2</w:t>
      </w:r>
      <w:r>
        <w:rPr>
          <w:rFonts w:hint="eastAsia" w:ascii="仿宋_GB2312" w:eastAsia="仿宋_GB2312" w:hAnsiTheme="minorEastAsia"/>
          <w:b/>
          <w:sz w:val="32"/>
          <w:szCs w:val="32"/>
        </w:rPr>
        <w:t>。</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4.3  储存单元</w:t>
      </w:r>
      <w:r>
        <w:rPr>
          <w:rFonts w:ascii="仿宋_GB2312" w:eastAsia="仿宋_GB2312" w:hAnsiTheme="minorEastAsia"/>
          <w:b/>
          <w:sz w:val="32"/>
          <w:szCs w:val="32"/>
        </w:rPr>
        <w:t>存在量</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4.3.1  危险化学品</w:t>
      </w:r>
      <w:r>
        <w:rPr>
          <w:rFonts w:ascii="仿宋_GB2312" w:eastAsia="仿宋_GB2312" w:hAnsiTheme="minorEastAsia"/>
          <w:b/>
          <w:sz w:val="32"/>
          <w:szCs w:val="32"/>
        </w:rPr>
        <w:t>储罐</w:t>
      </w:r>
      <w:r>
        <w:rPr>
          <w:rFonts w:hint="eastAsia" w:ascii="仿宋_GB2312" w:eastAsia="仿宋_GB2312" w:hAnsiTheme="minorEastAsia"/>
          <w:b/>
          <w:sz w:val="32"/>
          <w:szCs w:val="32"/>
        </w:rPr>
        <w:t>（包括</w:t>
      </w:r>
      <w:r>
        <w:rPr>
          <w:rFonts w:ascii="仿宋_GB2312" w:eastAsia="仿宋_GB2312" w:hAnsiTheme="minorEastAsia"/>
          <w:b/>
          <w:sz w:val="32"/>
          <w:szCs w:val="32"/>
        </w:rPr>
        <w:t>球罐、浮顶罐</w:t>
      </w:r>
      <w:r>
        <w:rPr>
          <w:rFonts w:hint="eastAsia" w:ascii="仿宋_GB2312" w:eastAsia="仿宋_GB2312" w:hAnsiTheme="minorEastAsia"/>
          <w:b/>
          <w:sz w:val="32"/>
          <w:szCs w:val="32"/>
        </w:rPr>
        <w:t>、</w:t>
      </w:r>
      <w:r>
        <w:rPr>
          <w:rFonts w:ascii="仿宋_GB2312" w:eastAsia="仿宋_GB2312" w:hAnsiTheme="minorEastAsia"/>
          <w:b/>
          <w:sz w:val="32"/>
          <w:szCs w:val="32"/>
        </w:rPr>
        <w:t>固定顶罐和卧罐</w:t>
      </w:r>
      <w:r>
        <w:rPr>
          <w:rFonts w:hint="eastAsia" w:ascii="仿宋_GB2312" w:eastAsia="仿宋_GB2312" w:hAnsiTheme="minorEastAsia"/>
          <w:b/>
          <w:sz w:val="32"/>
          <w:szCs w:val="32"/>
        </w:rPr>
        <w:t>等）</w:t>
      </w:r>
      <w:r>
        <w:rPr>
          <w:rFonts w:ascii="仿宋_GB2312" w:eastAsia="仿宋_GB2312" w:hAnsiTheme="minorEastAsia"/>
          <w:b/>
          <w:sz w:val="32"/>
          <w:szCs w:val="32"/>
        </w:rPr>
        <w:t>的</w:t>
      </w:r>
      <w:r>
        <w:rPr>
          <w:rFonts w:hint="eastAsia" w:ascii="仿宋_GB2312" w:eastAsia="仿宋_GB2312" w:hAnsiTheme="minorEastAsia"/>
          <w:b/>
          <w:sz w:val="32"/>
          <w:szCs w:val="32"/>
        </w:rPr>
        <w:t>危险化学品</w:t>
      </w:r>
      <w:r>
        <w:rPr>
          <w:rFonts w:ascii="仿宋_GB2312" w:eastAsia="仿宋_GB2312" w:hAnsiTheme="minorEastAsia"/>
          <w:b/>
          <w:sz w:val="32"/>
          <w:szCs w:val="32"/>
        </w:rPr>
        <w:t>实际存在量按设计最大</w:t>
      </w:r>
      <w:r>
        <w:rPr>
          <w:rFonts w:hint="eastAsia" w:ascii="仿宋_GB2312" w:eastAsia="仿宋_GB2312" w:hAnsiTheme="minorEastAsia"/>
          <w:b/>
          <w:sz w:val="32"/>
          <w:szCs w:val="32"/>
        </w:rPr>
        <w:t>量</w:t>
      </w:r>
      <w:r>
        <w:rPr>
          <w:rFonts w:ascii="仿宋_GB2312" w:eastAsia="仿宋_GB2312" w:hAnsiTheme="minorEastAsia"/>
          <w:b/>
          <w:sz w:val="32"/>
          <w:szCs w:val="32"/>
        </w:rPr>
        <w:t>确定</w:t>
      </w:r>
      <w:r>
        <w:rPr>
          <w:rFonts w:hint="eastAsia" w:ascii="仿宋_GB2312" w:eastAsia="仿宋_GB2312" w:hAnsiTheme="minorEastAsia"/>
          <w:b/>
          <w:sz w:val="32"/>
          <w:szCs w:val="32"/>
        </w:rPr>
        <w:t>，一般为</w:t>
      </w:r>
      <w:r>
        <w:rPr>
          <w:rFonts w:ascii="仿宋_GB2312" w:eastAsia="仿宋_GB2312" w:hAnsiTheme="minorEastAsia"/>
          <w:b/>
          <w:sz w:val="32"/>
          <w:szCs w:val="32"/>
        </w:rPr>
        <w:t>储罐</w:t>
      </w:r>
      <w:r>
        <w:rPr>
          <w:rFonts w:hint="eastAsia" w:ascii="仿宋_GB2312" w:eastAsia="仿宋_GB2312" w:hAnsiTheme="minorEastAsia"/>
          <w:b/>
          <w:sz w:val="32"/>
          <w:szCs w:val="32"/>
        </w:rPr>
        <w:t>容积乘以90%。</w:t>
      </w:r>
    </w:p>
    <w:p>
      <w:pPr>
        <w:spacing w:line="540" w:lineRule="exact"/>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4.3.2  仓储区危险化学品</w:t>
      </w:r>
      <w:r>
        <w:rPr>
          <w:rFonts w:ascii="仿宋_GB2312" w:eastAsia="仿宋_GB2312" w:hAnsiTheme="minorEastAsia"/>
          <w:b/>
          <w:sz w:val="32"/>
          <w:szCs w:val="32"/>
        </w:rPr>
        <w:t>的实际存在量按设计最大</w:t>
      </w:r>
      <w:r>
        <w:rPr>
          <w:rFonts w:hint="eastAsia" w:ascii="仿宋_GB2312" w:eastAsia="仿宋_GB2312" w:hAnsiTheme="minorEastAsia"/>
          <w:b/>
          <w:sz w:val="32"/>
          <w:szCs w:val="32"/>
        </w:rPr>
        <w:t>量</w:t>
      </w:r>
      <w:r>
        <w:rPr>
          <w:rFonts w:ascii="仿宋_GB2312" w:eastAsia="仿宋_GB2312" w:hAnsiTheme="minorEastAsia"/>
          <w:b/>
          <w:sz w:val="32"/>
          <w:szCs w:val="32"/>
        </w:rPr>
        <w:t>确定</w:t>
      </w:r>
      <w:r>
        <w:rPr>
          <w:rFonts w:hint="eastAsia" w:ascii="仿宋_GB2312" w:eastAsia="仿宋_GB2312" w:hAnsiTheme="minorEastAsia"/>
          <w:b/>
          <w:sz w:val="32"/>
          <w:szCs w:val="32"/>
        </w:rPr>
        <w:t>。</w:t>
      </w:r>
    </w:p>
    <w:p>
      <w:pPr>
        <w:spacing w:line="540" w:lineRule="exact"/>
        <w:ind w:firstLine="643" w:firstLineChars="200"/>
        <w:rPr>
          <w:rFonts w:ascii="仿宋_GB2312" w:eastAsia="仿宋_GB2312" w:hAnsiTheme="minorEastAsia"/>
          <w:b/>
          <w:sz w:val="32"/>
          <w:szCs w:val="32"/>
        </w:rPr>
      </w:pPr>
      <w:r>
        <w:rPr>
          <w:rFonts w:hint="eastAsia" w:ascii="黑体" w:hAnsi="黑体" w:eastAsia="黑体"/>
          <w:b/>
          <w:sz w:val="32"/>
          <w:szCs w:val="32"/>
        </w:rPr>
        <w:t>5  常住人口</w:t>
      </w:r>
    </w:p>
    <w:p>
      <w:pPr>
        <w:spacing w:line="520" w:lineRule="exact"/>
        <w:ind w:firstLine="601"/>
        <w:rPr>
          <w:rFonts w:ascii="仿宋_GB2312" w:eastAsia="仿宋_GB2312" w:hAnsiTheme="minorEastAsia"/>
          <w:b/>
          <w:sz w:val="32"/>
          <w:szCs w:val="32"/>
        </w:rPr>
      </w:pPr>
      <w:r>
        <w:rPr>
          <w:rFonts w:hint="eastAsia" w:ascii="仿宋_GB2312" w:eastAsia="仿宋_GB2312" w:hAnsiTheme="minorEastAsia"/>
          <w:b/>
          <w:sz w:val="32"/>
          <w:szCs w:val="32"/>
        </w:rPr>
        <w:t>常住人口指重大危险源边界向外扩展500米范围内居民区、公共福利设施、村庄及其它单位、场所建筑物内的常住人员。</w:t>
      </w:r>
    </w:p>
    <w:p>
      <w:pPr>
        <w:tabs>
          <w:tab w:val="left" w:pos="7004"/>
        </w:tabs>
        <w:spacing w:line="520" w:lineRule="exact"/>
        <w:ind w:firstLine="601"/>
        <w:rPr>
          <w:rFonts w:ascii="仿宋_GB2312" w:eastAsia="仿宋_GB2312" w:hAnsiTheme="minorEastAsia"/>
          <w:b/>
          <w:sz w:val="32"/>
          <w:szCs w:val="32"/>
        </w:rPr>
      </w:pPr>
      <w:r>
        <w:rPr>
          <w:rFonts w:hint="eastAsia" w:ascii="仿宋_GB2312" w:eastAsia="仿宋_GB2312" w:hAnsiTheme="minorEastAsia"/>
          <w:b/>
          <w:sz w:val="32"/>
          <w:szCs w:val="32"/>
        </w:rPr>
        <w:t>安工院联系人：赵文芳，0532-83783619。</w:t>
      </w:r>
      <w:r>
        <w:rPr>
          <w:rFonts w:ascii="仿宋_GB2312" w:eastAsia="仿宋_GB2312" w:hAnsiTheme="minorEastAsia"/>
          <w:b/>
          <w:sz w:val="32"/>
          <w:szCs w:val="32"/>
        </w:rPr>
        <w:tab/>
      </w:r>
    </w:p>
    <w:p>
      <w:pPr>
        <w:spacing w:line="520" w:lineRule="exact"/>
        <w:ind w:firstLine="601"/>
        <w:rPr>
          <w:rFonts w:ascii="仿宋_GB2312" w:eastAsia="仿宋_GB2312" w:hAnsiTheme="minorEastAsia"/>
          <w:b/>
          <w:sz w:val="32"/>
          <w:szCs w:val="32"/>
        </w:rPr>
      </w:pPr>
    </w:p>
    <w:p>
      <w:pPr>
        <w:spacing w:line="520" w:lineRule="exact"/>
        <w:ind w:firstLine="601"/>
        <w:rPr>
          <w:rFonts w:ascii="仿宋_GB2312" w:eastAsia="仿宋_GB2312" w:hAnsiTheme="minorEastAsia"/>
          <w:b/>
          <w:sz w:val="32"/>
          <w:szCs w:val="32"/>
        </w:rPr>
      </w:pPr>
      <w:r>
        <w:rPr>
          <w:rFonts w:hint="eastAsia" w:ascii="仿宋_GB2312" w:eastAsia="仿宋_GB2312" w:hAnsiTheme="minorEastAsia"/>
          <w:b/>
          <w:sz w:val="32"/>
          <w:szCs w:val="32"/>
        </w:rPr>
        <w:t>附件：1.炼化</w:t>
      </w:r>
      <w:r>
        <w:rPr>
          <w:rFonts w:ascii="仿宋_GB2312" w:eastAsia="仿宋_GB2312" w:hAnsiTheme="minorEastAsia"/>
          <w:b/>
          <w:sz w:val="32"/>
          <w:szCs w:val="32"/>
        </w:rPr>
        <w:t>企业常见危险化学品名称及其临界量</w:t>
      </w:r>
    </w:p>
    <w:p>
      <w:pPr>
        <w:spacing w:line="520" w:lineRule="exact"/>
        <w:ind w:firstLine="1606" w:firstLineChars="500"/>
        <w:rPr>
          <w:rFonts w:ascii="仿宋_GB2312" w:eastAsia="仿宋_GB2312" w:hAnsiTheme="minorEastAsia"/>
          <w:b/>
          <w:sz w:val="32"/>
          <w:szCs w:val="32"/>
        </w:rPr>
      </w:pPr>
      <w:r>
        <w:rPr>
          <w:rFonts w:hint="eastAsia" w:ascii="仿宋_GB2312" w:eastAsia="仿宋_GB2312" w:hAnsiTheme="minorEastAsia"/>
          <w:b/>
          <w:sz w:val="32"/>
          <w:szCs w:val="32"/>
        </w:rPr>
        <w:t>2.主要</w:t>
      </w:r>
      <w:r>
        <w:rPr>
          <w:rFonts w:ascii="仿宋_GB2312" w:eastAsia="仿宋_GB2312" w:hAnsiTheme="minorEastAsia"/>
          <w:b/>
          <w:sz w:val="32"/>
          <w:szCs w:val="32"/>
        </w:rPr>
        <w:t>设备</w:t>
      </w:r>
      <w:r>
        <w:rPr>
          <w:rFonts w:hint="eastAsia" w:ascii="仿宋_GB2312" w:eastAsia="仿宋_GB2312" w:hAnsiTheme="minorEastAsia"/>
          <w:b/>
          <w:sz w:val="32"/>
          <w:szCs w:val="32"/>
        </w:rPr>
        <w:t>设施</w:t>
      </w:r>
      <w:r>
        <w:rPr>
          <w:rFonts w:ascii="仿宋_GB2312" w:eastAsia="仿宋_GB2312" w:hAnsiTheme="minorEastAsia"/>
          <w:b/>
          <w:sz w:val="32"/>
          <w:szCs w:val="32"/>
        </w:rPr>
        <w:t>内</w:t>
      </w:r>
      <w:r>
        <w:rPr>
          <w:rFonts w:hint="eastAsia" w:ascii="仿宋_GB2312" w:eastAsia="仿宋_GB2312" w:hAnsiTheme="minorEastAsia"/>
          <w:b/>
          <w:sz w:val="32"/>
          <w:szCs w:val="32"/>
        </w:rPr>
        <w:t>液体</w:t>
      </w:r>
      <w:r>
        <w:rPr>
          <w:rFonts w:ascii="仿宋_GB2312" w:eastAsia="仿宋_GB2312" w:hAnsiTheme="minorEastAsia"/>
          <w:b/>
          <w:sz w:val="32"/>
          <w:szCs w:val="32"/>
        </w:rPr>
        <w:t>存量</w:t>
      </w:r>
      <w:r>
        <w:rPr>
          <w:rFonts w:hint="eastAsia" w:ascii="仿宋_GB2312" w:eastAsia="仿宋_GB2312" w:hAnsiTheme="minorEastAsia"/>
          <w:b/>
          <w:sz w:val="32"/>
          <w:szCs w:val="32"/>
        </w:rPr>
        <w:t>计算原则</w:t>
      </w:r>
    </w:p>
    <w:p>
      <w:pPr>
        <w:spacing w:line="520" w:lineRule="exact"/>
        <w:ind w:firstLine="1606" w:firstLineChars="500"/>
        <w:rPr>
          <w:rFonts w:ascii="仿宋_GB2312" w:eastAsia="仿宋_GB2312" w:hAnsiTheme="minorEastAsia"/>
          <w:b/>
          <w:sz w:val="32"/>
          <w:szCs w:val="32"/>
        </w:rPr>
        <w:sectPr>
          <w:footerReference r:id="rId3" w:type="default"/>
          <w:pgSz w:w="11906" w:h="16838"/>
          <w:pgMar w:top="2098" w:right="1474" w:bottom="1985" w:left="1588" w:header="851" w:footer="992" w:gutter="0"/>
          <w:cols w:space="425" w:num="1"/>
          <w:docGrid w:type="lines" w:linePitch="312" w:charSpace="0"/>
        </w:sectPr>
      </w:pPr>
      <w:r>
        <w:rPr>
          <w:rFonts w:hint="eastAsia" w:ascii="仿宋_GB2312" w:eastAsia="仿宋_GB2312" w:hAnsiTheme="minorEastAsia"/>
          <w:b/>
          <w:sz w:val="32"/>
          <w:szCs w:val="32"/>
        </w:rPr>
        <w:t>3.危险化学品生产单元危险化学品存量计算模板</w:t>
      </w:r>
    </w:p>
    <w:p>
      <w:pPr>
        <w:spacing w:line="520" w:lineRule="exact"/>
        <w:rPr>
          <w:rFonts w:ascii="仿宋_GB2312" w:eastAsia="仿宋_GB2312" w:hAnsiTheme="minorEastAsia"/>
          <w:b/>
          <w:sz w:val="32"/>
          <w:szCs w:val="32"/>
        </w:rPr>
      </w:pPr>
      <w:r>
        <w:rPr>
          <w:rFonts w:hint="eastAsia" w:ascii="仿宋_GB2312" w:eastAsia="仿宋_GB2312" w:hAnsiTheme="minorEastAsia"/>
          <w:b/>
          <w:sz w:val="32"/>
          <w:szCs w:val="32"/>
        </w:rPr>
        <w:t>附件1：</w:t>
      </w:r>
    </w:p>
    <w:p>
      <w:pPr>
        <w:spacing w:after="93" w:afterLines="30" w:line="520" w:lineRule="exact"/>
        <w:jc w:val="center"/>
        <w:rPr>
          <w:rFonts w:ascii="仿宋_GB2312" w:eastAsia="仿宋_GB2312" w:hAnsiTheme="minorEastAsia"/>
          <w:b/>
          <w:sz w:val="32"/>
          <w:szCs w:val="32"/>
        </w:rPr>
      </w:pPr>
      <w:r>
        <w:rPr>
          <w:rFonts w:hint="eastAsia" w:asciiTheme="minorEastAsia" w:hAnsiTheme="minorEastAsia"/>
          <w:b/>
          <w:bCs/>
          <w:sz w:val="28"/>
          <w:szCs w:val="28"/>
        </w:rPr>
        <w:t>炼化</w:t>
      </w:r>
      <w:r>
        <w:rPr>
          <w:rFonts w:asciiTheme="minorEastAsia" w:hAnsiTheme="minorEastAsia"/>
          <w:b/>
          <w:bCs/>
          <w:sz w:val="28"/>
          <w:szCs w:val="28"/>
        </w:rPr>
        <w:t>企业常见危险化学品名称及其临界量</w:t>
      </w:r>
    </w:p>
    <w:tbl>
      <w:tblPr>
        <w:tblStyle w:val="6"/>
        <w:tblW w:w="8857" w:type="dxa"/>
        <w:jc w:val="center"/>
        <w:tblLayout w:type="autofit"/>
        <w:tblCellMar>
          <w:top w:w="0" w:type="dxa"/>
          <w:left w:w="108" w:type="dxa"/>
          <w:bottom w:w="0" w:type="dxa"/>
          <w:right w:w="108" w:type="dxa"/>
        </w:tblCellMar>
      </w:tblPr>
      <w:tblGrid>
        <w:gridCol w:w="755"/>
        <w:gridCol w:w="2327"/>
        <w:gridCol w:w="1539"/>
        <w:gridCol w:w="1519"/>
        <w:gridCol w:w="1123"/>
        <w:gridCol w:w="1594"/>
      </w:tblGrid>
      <w:tr>
        <w:tblPrEx>
          <w:tblCellMar>
            <w:top w:w="0" w:type="dxa"/>
            <w:left w:w="108" w:type="dxa"/>
            <w:bottom w:w="0" w:type="dxa"/>
            <w:right w:w="108" w:type="dxa"/>
          </w:tblCellMar>
        </w:tblPrEx>
        <w:trPr>
          <w:trHeight w:val="312" w:hRule="atLeast"/>
          <w:tblHeader/>
          <w:jc w:val="center"/>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23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危险化学品名称和说明</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别名</w:t>
            </w:r>
          </w:p>
        </w:tc>
        <w:tc>
          <w:tcPr>
            <w:tcW w:w="15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CAS号</w:t>
            </w:r>
          </w:p>
        </w:tc>
        <w:tc>
          <w:tcPr>
            <w:tcW w:w="11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临界量/t</w:t>
            </w:r>
          </w:p>
        </w:tc>
        <w:tc>
          <w:tcPr>
            <w:tcW w:w="1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说明</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氨</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液氨；氨气</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7664-41-7</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氧（压缩的或液化的）</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液氧；氧气</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7782-44-7</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氢</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氢气</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1333-74-0</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二氧化硫</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亚硫酸酐</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7446-9-5</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环氧乙烷</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氧化乙烯</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75-21-8</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6</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1,2-环氧丙烷</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氧化丙烯；甲基环氧乙烷</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75-56-9</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硫化氢</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7783-6-4</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8</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氯</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液氯；氯气</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7782-50-5</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9</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一氧化碳</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630-08-0</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煤气（CO和H</w:t>
            </w:r>
            <w:r>
              <w:rPr>
                <w:rFonts w:hint="eastAsia" w:ascii="仿宋_GB2312" w:hAnsi="仿宋" w:eastAsia="仿宋_GB2312" w:cs="宋体"/>
                <w:color w:val="000000"/>
                <w:kern w:val="0"/>
                <w:szCs w:val="21"/>
                <w:vertAlign w:val="subscript"/>
              </w:rPr>
              <w:t>2</w:t>
            </w:r>
            <w:r>
              <w:rPr>
                <w:rFonts w:hint="eastAsia" w:ascii="仿宋_GB2312" w:hAnsi="仿宋" w:eastAsia="仿宋_GB2312" w:cs="宋体"/>
                <w:color w:val="000000"/>
                <w:kern w:val="0"/>
                <w:szCs w:val="21"/>
              </w:rPr>
              <w:t>、CH</w:t>
            </w:r>
            <w:r>
              <w:rPr>
                <w:rFonts w:hint="eastAsia" w:ascii="仿宋_GB2312" w:hAnsi="仿宋" w:eastAsia="仿宋_GB2312" w:cs="宋体"/>
                <w:color w:val="000000"/>
                <w:kern w:val="0"/>
                <w:szCs w:val="21"/>
                <w:vertAlign w:val="subscript"/>
              </w:rPr>
              <w:t>4</w:t>
            </w:r>
            <w:r>
              <w:rPr>
                <w:rFonts w:hint="eastAsia" w:ascii="仿宋_GB2312" w:hAnsi="仿宋" w:eastAsia="仿宋_GB2312" w:cs="宋体"/>
                <w:color w:val="000000"/>
                <w:kern w:val="0"/>
                <w:szCs w:val="21"/>
              </w:rPr>
              <w:t>的混合物等）</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11</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1,3-丁二烯</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联乙烯</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106-99-0</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12</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二甲醚</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甲醚</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115-10-6</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13</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乙醚</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二乙基醚</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60-29-7</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14</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甲烷,天然气</w:t>
            </w:r>
          </w:p>
        </w:tc>
        <w:tc>
          <w:tcPr>
            <w:tcW w:w="153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74-82-8（甲烷）8006-14-2（天然气）</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15</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液化石油气</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石油气（液化的）</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68476-85-7</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16</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汽油（乙醇汽油、甲醇汽油）</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86290-81-5（汽油）</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17</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丙烷</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74-98-6</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18</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丁烷</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106-97-8</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19</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正己烷</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己烷</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110-54-3</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20</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环己烷</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六氢化苯</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110-82-7</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21</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乙烯</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74-85-1</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22</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乙炔</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电石气</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74-86-2</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23</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苯</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纯苯</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71-43-2</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24</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甲苯</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甲基苯；苯基甲烷</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108-88-3</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25</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甲醇</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木醇；木精</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67-56-1</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26</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乙醇</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酒精</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64-17-5</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27</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苯乙烯</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乙烯苯</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100-42-5</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28</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丙酮</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二甲基酮</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67-64-1</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29</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氰化氢</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无水氢氰酸</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74-90-8</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30</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2-丙烯腈</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丙烯腈；乙烯基腈；腈基乙烯</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107-13-1</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31</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二硫化碳</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75-15-0</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32</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氟化氢</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7664-39-3</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33</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乙酸乙酯</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醋酸乙酯</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141-78-6</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34</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氯乙烯</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乙烯基氯</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1975-1-4</w:t>
            </w: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35</w:t>
            </w:r>
          </w:p>
        </w:tc>
        <w:tc>
          <w:tcPr>
            <w:tcW w:w="23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烷基铝</w:t>
            </w:r>
          </w:p>
        </w:tc>
        <w:tc>
          <w:tcPr>
            <w:tcW w:w="1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三烷基铝</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p>
        </w:tc>
        <w:tc>
          <w:tcPr>
            <w:tcW w:w="11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GB18218表1规定</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36</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原油(*1)</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石油原油</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8002-5-9</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37</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石脑油</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8030-30-6</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参照汽油取200</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38</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煤油</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火油；直馏煤油</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8008-20-6</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易燃液体，类别3</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39</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柴油[闭杯闪点≤60℃]</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易燃液体，类别3</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40</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甲基叔丁基醚</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2-甲氧基-2-甲基丙烷；MTBE</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1634-04-4</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易燃液体，类别2</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41</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乙烷</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74-84-0</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参照丙烷、丁烷</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42</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戊烷（C5）</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109-66-0</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参照汽油</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43</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丙烯</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115-07-1</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参照乙烯</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44</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丁烯-1</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106-98-9</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参照乙烯</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45</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2-丁烯</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107-01-7</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参照乙烯</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46</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异丁烯</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2-甲基丙烯</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115-11-7</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参照乙烯</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47</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2-甲基-1,3-丁二烯[稳定的]</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异戊间二烯；异戊二烯</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78-79-5</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易燃液体，类别1</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48</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1,3-戊二烯[稳定的]</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504-60-9</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参照汽油</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49</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1,4-戊二烯[稳定的]</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591-93-5</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易燃液体，类别1</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1-己烯</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丁基乙烯</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592-41-6</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易燃液体，类别2</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51</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乙苯</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乙基苯</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100-41-4</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易燃液体，类别2</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52</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1,2-二甲苯</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邻二甲苯</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95-47-6</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易燃液体，类别3</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53</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1,3-二甲苯</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间二甲苯</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108-38-3</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易燃液体，类别3</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54</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1,4-二甲苯</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对二甲苯</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106-42-3</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易燃液体，类别3</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55</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二甲苯异构体混合物</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1330-20-7</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易燃液体，类别3</w:t>
            </w:r>
          </w:p>
        </w:tc>
      </w:tr>
      <w:tr>
        <w:tblPrEx>
          <w:tblCellMar>
            <w:top w:w="0" w:type="dxa"/>
            <w:left w:w="108" w:type="dxa"/>
            <w:bottom w:w="0" w:type="dxa"/>
            <w:right w:w="108" w:type="dxa"/>
          </w:tblCellMar>
        </w:tblPrEx>
        <w:trPr>
          <w:trHeight w:val="312"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56</w:t>
            </w:r>
          </w:p>
        </w:tc>
        <w:tc>
          <w:tcPr>
            <w:tcW w:w="232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苯酚</w:t>
            </w:r>
          </w:p>
        </w:tc>
        <w:tc>
          <w:tcPr>
            <w:tcW w:w="153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酚；石炭酸</w:t>
            </w:r>
          </w:p>
        </w:tc>
        <w:tc>
          <w:tcPr>
            <w:tcW w:w="15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108-95-2</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500</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仿宋" w:eastAsia="仿宋_GB2312" w:cs="宋体"/>
                <w:color w:val="000000"/>
                <w:spacing w:val="-20"/>
                <w:kern w:val="0"/>
                <w:szCs w:val="21"/>
              </w:rPr>
            </w:pPr>
            <w:r>
              <w:rPr>
                <w:rFonts w:hint="eastAsia" w:ascii="仿宋_GB2312" w:hAnsi="仿宋" w:eastAsia="仿宋_GB2312" w:cs="宋体"/>
                <w:color w:val="000000"/>
                <w:spacing w:val="-20"/>
                <w:kern w:val="0"/>
                <w:szCs w:val="21"/>
              </w:rPr>
              <w:t>急性毒性-吸入,类别3</w:t>
            </w:r>
          </w:p>
        </w:tc>
      </w:tr>
    </w:tbl>
    <w:p>
      <w:pPr>
        <w:spacing w:line="520" w:lineRule="exact"/>
        <w:ind w:firstLine="601"/>
        <w:rPr>
          <w:rFonts w:ascii="仿宋_GB2312" w:eastAsia="仿宋_GB2312" w:hAnsiTheme="minorEastAsia"/>
          <w:b/>
          <w:sz w:val="32"/>
          <w:szCs w:val="32"/>
        </w:rPr>
      </w:pPr>
    </w:p>
    <w:p>
      <w:pPr>
        <w:spacing w:line="540" w:lineRule="exact"/>
        <w:ind w:firstLine="643" w:firstLineChars="200"/>
        <w:rPr>
          <w:rFonts w:ascii="仿宋_GB2312" w:eastAsia="仿宋_GB2312" w:hAnsiTheme="minorEastAsia"/>
          <w:b/>
          <w:sz w:val="32"/>
          <w:szCs w:val="32"/>
        </w:rPr>
        <w:sectPr>
          <w:pgSz w:w="11906" w:h="16838"/>
          <w:pgMar w:top="2098" w:right="1474" w:bottom="1985" w:left="1588" w:header="851" w:footer="992" w:gutter="0"/>
          <w:cols w:space="425" w:num="1"/>
          <w:docGrid w:type="lines" w:linePitch="312" w:charSpace="0"/>
        </w:sectPr>
      </w:pPr>
    </w:p>
    <w:p>
      <w:pPr>
        <w:spacing w:line="540" w:lineRule="exact"/>
        <w:rPr>
          <w:rFonts w:ascii="仿宋_GB2312" w:eastAsia="仿宋_GB2312" w:hAnsiTheme="minorEastAsia"/>
          <w:b/>
          <w:sz w:val="32"/>
          <w:szCs w:val="32"/>
        </w:rPr>
      </w:pPr>
      <w:r>
        <w:rPr>
          <w:rFonts w:hint="eastAsia" w:ascii="仿宋_GB2312" w:eastAsia="仿宋_GB2312" w:hAnsiTheme="minorEastAsia"/>
          <w:b/>
          <w:sz w:val="32"/>
          <w:szCs w:val="32"/>
        </w:rPr>
        <w:t>附件2：</w:t>
      </w:r>
    </w:p>
    <w:p>
      <w:pPr>
        <w:spacing w:after="93" w:afterLines="30" w:line="540" w:lineRule="exact"/>
        <w:jc w:val="center"/>
        <w:rPr>
          <w:rFonts w:asciiTheme="minorEastAsia" w:hAnsiTheme="minorEastAsia"/>
          <w:b/>
          <w:bCs/>
          <w:sz w:val="28"/>
          <w:szCs w:val="28"/>
        </w:rPr>
      </w:pPr>
      <w:r>
        <w:rPr>
          <w:rFonts w:hint="eastAsia" w:asciiTheme="minorEastAsia" w:hAnsiTheme="minorEastAsia"/>
          <w:b/>
          <w:bCs/>
          <w:sz w:val="28"/>
          <w:szCs w:val="28"/>
        </w:rPr>
        <w:t>主要</w:t>
      </w:r>
      <w:r>
        <w:rPr>
          <w:rFonts w:asciiTheme="minorEastAsia" w:hAnsiTheme="minorEastAsia"/>
          <w:b/>
          <w:bCs/>
          <w:sz w:val="28"/>
          <w:szCs w:val="28"/>
        </w:rPr>
        <w:t>设备</w:t>
      </w:r>
      <w:r>
        <w:rPr>
          <w:rFonts w:hint="eastAsia" w:asciiTheme="minorEastAsia" w:hAnsiTheme="minorEastAsia"/>
          <w:b/>
          <w:bCs/>
          <w:sz w:val="28"/>
          <w:szCs w:val="28"/>
        </w:rPr>
        <w:t>设施</w:t>
      </w:r>
      <w:r>
        <w:rPr>
          <w:rFonts w:asciiTheme="minorEastAsia" w:hAnsiTheme="minorEastAsia"/>
          <w:b/>
          <w:bCs/>
          <w:sz w:val="28"/>
          <w:szCs w:val="28"/>
        </w:rPr>
        <w:t>内</w:t>
      </w:r>
      <w:r>
        <w:rPr>
          <w:rFonts w:hint="eastAsia" w:asciiTheme="minorEastAsia" w:hAnsiTheme="minorEastAsia"/>
          <w:b/>
          <w:bCs/>
          <w:sz w:val="28"/>
          <w:szCs w:val="28"/>
        </w:rPr>
        <w:t>液体</w:t>
      </w:r>
      <w:r>
        <w:rPr>
          <w:rFonts w:asciiTheme="minorEastAsia" w:hAnsiTheme="minorEastAsia"/>
          <w:b/>
          <w:bCs/>
          <w:sz w:val="28"/>
          <w:szCs w:val="28"/>
        </w:rPr>
        <w:t>存量</w:t>
      </w:r>
      <w:r>
        <w:rPr>
          <w:rFonts w:hint="eastAsia" w:asciiTheme="minorEastAsia" w:hAnsiTheme="minorEastAsia"/>
          <w:b/>
          <w:bCs/>
          <w:sz w:val="28"/>
          <w:szCs w:val="28"/>
        </w:rPr>
        <w:t>计算原则</w:t>
      </w:r>
    </w:p>
    <w:tbl>
      <w:tblPr>
        <w:tblStyle w:val="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1418"/>
        <w:gridCol w:w="2754"/>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051" w:type="dxa"/>
            <w:vAlign w:val="center"/>
          </w:tcPr>
          <w:p>
            <w:pPr>
              <w:spacing w:line="540" w:lineRule="exact"/>
              <w:jc w:val="center"/>
              <w:rPr>
                <w:rFonts w:asciiTheme="minorEastAsia" w:hAnsiTheme="minorEastAsia"/>
                <w:b/>
                <w:sz w:val="24"/>
                <w:szCs w:val="21"/>
              </w:rPr>
            </w:pPr>
            <w:r>
              <w:rPr>
                <w:rFonts w:hint="eastAsia" w:asciiTheme="minorEastAsia" w:hAnsiTheme="minorEastAsia"/>
                <w:b/>
                <w:sz w:val="24"/>
                <w:szCs w:val="21"/>
              </w:rPr>
              <w:t>设备类型</w:t>
            </w:r>
          </w:p>
        </w:tc>
        <w:tc>
          <w:tcPr>
            <w:tcW w:w="1418" w:type="dxa"/>
            <w:vAlign w:val="center"/>
          </w:tcPr>
          <w:p>
            <w:pPr>
              <w:spacing w:line="540" w:lineRule="exact"/>
              <w:jc w:val="center"/>
              <w:rPr>
                <w:rFonts w:asciiTheme="minorEastAsia" w:hAnsiTheme="minorEastAsia"/>
                <w:b/>
                <w:sz w:val="24"/>
                <w:szCs w:val="21"/>
              </w:rPr>
            </w:pPr>
            <w:r>
              <w:rPr>
                <w:rFonts w:hint="eastAsia" w:asciiTheme="minorEastAsia" w:hAnsiTheme="minorEastAsia"/>
                <w:b/>
                <w:sz w:val="24"/>
                <w:szCs w:val="21"/>
              </w:rPr>
              <w:t>构成部分</w:t>
            </w:r>
          </w:p>
        </w:tc>
        <w:tc>
          <w:tcPr>
            <w:tcW w:w="2754" w:type="dxa"/>
            <w:vAlign w:val="center"/>
          </w:tcPr>
          <w:p>
            <w:pPr>
              <w:spacing w:line="540" w:lineRule="exact"/>
              <w:jc w:val="center"/>
              <w:rPr>
                <w:rFonts w:asciiTheme="minorEastAsia" w:hAnsiTheme="minorEastAsia"/>
                <w:b/>
                <w:sz w:val="24"/>
                <w:szCs w:val="21"/>
              </w:rPr>
            </w:pPr>
            <w:r>
              <w:rPr>
                <w:rFonts w:hint="eastAsia" w:asciiTheme="minorEastAsia" w:hAnsiTheme="minorEastAsia"/>
                <w:b/>
                <w:sz w:val="24"/>
                <w:szCs w:val="21"/>
              </w:rPr>
              <w:t>设备实例</w:t>
            </w:r>
          </w:p>
        </w:tc>
        <w:tc>
          <w:tcPr>
            <w:tcW w:w="2587" w:type="dxa"/>
            <w:vAlign w:val="center"/>
          </w:tcPr>
          <w:p>
            <w:pPr>
              <w:spacing w:line="540" w:lineRule="exact"/>
              <w:jc w:val="center"/>
              <w:rPr>
                <w:rFonts w:asciiTheme="minorEastAsia" w:hAnsiTheme="minorEastAsia"/>
                <w:b/>
                <w:sz w:val="24"/>
                <w:szCs w:val="21"/>
              </w:rPr>
            </w:pPr>
            <w:r>
              <w:rPr>
                <w:rFonts w:hint="eastAsia" w:asciiTheme="minorEastAsia" w:hAnsiTheme="minorEastAsia"/>
                <w:b/>
                <w:sz w:val="24"/>
                <w:szCs w:val="21"/>
              </w:rPr>
              <w:t>默认</w:t>
            </w:r>
            <w:r>
              <w:rPr>
                <w:rFonts w:asciiTheme="minorEastAsia" w:hAnsiTheme="minorEastAsia"/>
                <w:b/>
                <w:sz w:val="24"/>
                <w:szCs w:val="21"/>
              </w:rPr>
              <w:t>液体</w:t>
            </w:r>
            <w:r>
              <w:rPr>
                <w:rFonts w:hint="eastAsia" w:asciiTheme="minorEastAsia" w:hAnsiTheme="minorEastAsia"/>
                <w:b/>
                <w:sz w:val="24"/>
                <w:szCs w:val="21"/>
              </w:rPr>
              <w:t>体积占比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51"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塔器</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（可以作为二或三部分来处理）</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--上半部分</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--中间部分</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--下半部分</w:t>
            </w:r>
          </w:p>
        </w:tc>
        <w:tc>
          <w:tcPr>
            <w:tcW w:w="1418"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 塔上部；</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 塔中部；</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 塔底部。</w:t>
            </w:r>
          </w:p>
        </w:tc>
        <w:tc>
          <w:tcPr>
            <w:tcW w:w="2754" w:type="dxa"/>
            <w:vAlign w:val="center"/>
          </w:tcPr>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（1）蒸馏塔；</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（2）催化裂化分馏塔；</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（3）分离塔；</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（4）去丁烷塔；</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（5）填料塔---见注1；</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（6）液液塔---见注2。</w:t>
            </w:r>
          </w:p>
        </w:tc>
        <w:tc>
          <w:tcPr>
            <w:tcW w:w="2587"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塔上部：25%</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塔中部：25%</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塔下部：37%</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这些默认值是针对典型的盘式精馏塔，即塔底部充满液体、上部塔筒内设有塔盘的塔。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51"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收集器和鼓状容器</w:t>
            </w:r>
          </w:p>
        </w:tc>
        <w:tc>
          <w:tcPr>
            <w:tcW w:w="1418"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鼓状容器（圆桶）</w:t>
            </w:r>
          </w:p>
        </w:tc>
        <w:tc>
          <w:tcPr>
            <w:tcW w:w="2754" w:type="dxa"/>
            <w:vAlign w:val="center"/>
          </w:tcPr>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（1）电脱盐罐；</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（2）进料罐；</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（3）高压/低压分离器；</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（4）氮储罐；</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（5）蒸汽冷凝器；</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（6）三相分离器---见注3。</w:t>
            </w:r>
          </w:p>
        </w:tc>
        <w:tc>
          <w:tcPr>
            <w:tcW w:w="2587"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50%</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 通常是指液体控制在50%的两相容器。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51"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气液分离器和干燥器</w:t>
            </w:r>
          </w:p>
        </w:tc>
        <w:tc>
          <w:tcPr>
            <w:tcW w:w="1418"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气液分离容器</w:t>
            </w:r>
          </w:p>
        </w:tc>
        <w:tc>
          <w:tcPr>
            <w:tcW w:w="2754" w:type="dxa"/>
            <w:vAlign w:val="center"/>
          </w:tcPr>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（1）压缩机附带的分液罐；</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（2）燃料气分液罐；</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（3）火炬系统分液罐；</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（4）空气干燥器。</w:t>
            </w:r>
          </w:p>
        </w:tc>
        <w:tc>
          <w:tcPr>
            <w:tcW w:w="2587"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10%</w:t>
            </w:r>
          </w:p>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 在气液分离器内液体的量会更少，取10%。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51"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反应器</w:t>
            </w:r>
          </w:p>
        </w:tc>
        <w:tc>
          <w:tcPr>
            <w:tcW w:w="1418"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反应器</w:t>
            </w:r>
          </w:p>
        </w:tc>
        <w:tc>
          <w:tcPr>
            <w:tcW w:w="2754" w:type="dxa"/>
            <w:vAlign w:val="center"/>
          </w:tcPr>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（1）流体反应器；</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szCs w:val="21"/>
              </w:rPr>
              <w:t>（2）固定床反应器；</w:t>
            </w:r>
          </w:p>
          <w:p>
            <w:pPr>
              <w:spacing w:line="240" w:lineRule="exact"/>
              <w:jc w:val="left"/>
              <w:rPr>
                <w:rFonts w:ascii="仿宋_GB2312" w:eastAsia="仿宋_GB2312" w:cs="Times New Roman" w:hAnsiTheme="majorEastAsia"/>
                <w:bCs/>
                <w:szCs w:val="21"/>
              </w:rPr>
            </w:pPr>
            <w:r>
              <w:rPr>
                <w:rFonts w:hint="eastAsia" w:ascii="仿宋_GB2312" w:eastAsia="仿宋_GB2312" w:cs="Times New Roman" w:hAnsiTheme="majorEastAsia"/>
                <w:bCs/>
                <w:color w:val="000000" w:themeColor="text1"/>
                <w:szCs w:val="21"/>
              </w:rPr>
              <w:t xml:space="preserve">（3）分子筛反应器。 </w:t>
            </w:r>
          </w:p>
        </w:tc>
        <w:tc>
          <w:tcPr>
            <w:tcW w:w="2587" w:type="dxa"/>
            <w:vAlign w:val="center"/>
          </w:tcPr>
          <w:p>
            <w:pPr>
              <w:spacing w:line="240" w:lineRule="exact"/>
              <w:jc w:val="center"/>
              <w:rPr>
                <w:rFonts w:ascii="仿宋_GB2312" w:eastAsia="仿宋_GB2312" w:cs="Times New Roman" w:hAnsiTheme="majorEastAsia"/>
                <w:bCs/>
                <w:szCs w:val="21"/>
              </w:rPr>
            </w:pPr>
            <w:r>
              <w:rPr>
                <w:rFonts w:hint="eastAsia" w:ascii="仿宋_GB2312" w:eastAsia="仿宋_GB2312" w:cs="Times New Roman" w:hAnsiTheme="majorEastAsia"/>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10" w:type="dxa"/>
            <w:gridSpan w:val="4"/>
            <w:vAlign w:val="center"/>
          </w:tcPr>
          <w:p>
            <w:pPr>
              <w:spacing w:line="240" w:lineRule="exact"/>
              <w:jc w:val="left"/>
              <w:rPr>
                <w:rFonts w:ascii="仿宋_GB2312" w:eastAsia="仿宋_GB2312" w:hAnsiTheme="minorEastAsia"/>
                <w:szCs w:val="21"/>
              </w:rPr>
            </w:pPr>
            <w:r>
              <w:rPr>
                <w:rFonts w:hint="eastAsia" w:ascii="仿宋_GB2312" w:eastAsia="仿宋_GB2312" w:hAnsiTheme="minorEastAsia"/>
                <w:szCs w:val="21"/>
              </w:rPr>
              <w:t>注：</w:t>
            </w:r>
          </w:p>
          <w:p>
            <w:pPr>
              <w:spacing w:line="240" w:lineRule="exact"/>
              <w:jc w:val="left"/>
              <w:rPr>
                <w:rFonts w:ascii="仿宋_GB2312" w:eastAsia="仿宋_GB2312" w:cs="Arial" w:hAnsiTheme="minorEastAsia"/>
                <w:szCs w:val="21"/>
                <w:shd w:val="clear" w:color="auto" w:fill="F7F8FA"/>
              </w:rPr>
            </w:pPr>
            <w:r>
              <w:rPr>
                <w:rFonts w:hint="eastAsia" w:ascii="仿宋_GB2312" w:eastAsia="仿宋_GB2312" w:hAnsiTheme="minorEastAsia"/>
                <w:szCs w:val="21"/>
              </w:rPr>
              <w:t>1.</w:t>
            </w:r>
            <w:r>
              <w:rPr>
                <w:rFonts w:hint="eastAsia" w:ascii="仿宋_GB2312" w:eastAsia="仿宋_GB2312" w:cs="Arial" w:hAnsiTheme="minorEastAsia"/>
                <w:szCs w:val="21"/>
                <w:shd w:val="clear" w:color="auto" w:fill="F7F8FA"/>
              </w:rPr>
              <w:t>填料塔一般比盘式塔含有更少液体，所以填料塔通常液体体积百分比为10-15%。</w:t>
            </w:r>
          </w:p>
          <w:p>
            <w:pPr>
              <w:spacing w:line="240" w:lineRule="exact"/>
              <w:jc w:val="left"/>
              <w:rPr>
                <w:rFonts w:ascii="仿宋_GB2312" w:eastAsia="仿宋_GB2312" w:hAnsiTheme="minorEastAsia"/>
                <w:szCs w:val="21"/>
              </w:rPr>
            </w:pPr>
            <w:r>
              <w:rPr>
                <w:rFonts w:hint="eastAsia" w:ascii="仿宋_GB2312" w:eastAsia="仿宋_GB2312" w:hAnsiTheme="minorEastAsia"/>
                <w:szCs w:val="21"/>
              </w:rPr>
              <w:t>2.</w:t>
            </w:r>
            <w:r>
              <w:rPr>
                <w:rFonts w:hint="eastAsia" w:ascii="仿宋_GB2312" w:eastAsia="仿宋_GB2312" w:cs="Arial" w:hAnsiTheme="minorEastAsia"/>
                <w:szCs w:val="21"/>
                <w:shd w:val="clear" w:color="auto" w:fill="F7F8FA"/>
              </w:rPr>
              <w:t>对于液体/液体塔，如硫磺回收装置--溶剂再生部分的富胺液硫化氢再生塔、碱洗塔、润滑油或芳烃萃取塔，当溶剂或其他液体与工艺流体（如芳烃萃取塔中的TEG（三乙二醇）和BTX（苯、甲苯、二甲苯混合物）），其液相比例（LV %）会高得多。应考虑容器中每种液体的数量，以及液体组成是否包括混合物组成中的两种液体。</w:t>
            </w:r>
          </w:p>
          <w:p>
            <w:pPr>
              <w:spacing w:line="240" w:lineRule="exact"/>
              <w:jc w:val="left"/>
              <w:rPr>
                <w:rFonts w:ascii="仿宋_GB2312" w:eastAsia="仿宋_GB2312" w:cs="Times New Roman" w:hAnsiTheme="majorEastAsia"/>
                <w:bCs/>
                <w:color w:val="FF0000"/>
                <w:szCs w:val="21"/>
              </w:rPr>
            </w:pPr>
            <w:r>
              <w:rPr>
                <w:rFonts w:hint="eastAsia" w:ascii="仿宋_GB2312" w:eastAsia="仿宋_GB2312" w:hAnsiTheme="minorEastAsia"/>
                <w:szCs w:val="21"/>
              </w:rPr>
              <w:t>3.</w:t>
            </w:r>
            <w:r>
              <w:rPr>
                <w:rFonts w:hint="eastAsia" w:ascii="仿宋_GB2312" w:eastAsia="仿宋_GB2312" w:cs="Arial" w:hAnsiTheme="minorEastAsia"/>
                <w:szCs w:val="21"/>
                <w:shd w:val="clear" w:color="auto" w:fill="F7F8FA"/>
              </w:rPr>
              <w:t>对于三相分离器，如带分水器的脱盐器，LV%可能低于50%，这取决于第二液相（通常是水）的含量，以及流体成分是否包括混合物成分中的两种液相。</w:t>
            </w:r>
          </w:p>
        </w:tc>
      </w:tr>
    </w:tbl>
    <w:p>
      <w:pPr>
        <w:spacing w:line="540" w:lineRule="exact"/>
        <w:ind w:firstLine="643" w:firstLineChars="200"/>
        <w:rPr>
          <w:rFonts w:ascii="仿宋_GB2312" w:eastAsia="仿宋_GB2312" w:hAnsiTheme="minorEastAsia"/>
          <w:b/>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095777"/>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dit="forms" w:enforcement="1" w:cryptProviderType="rsaFull" w:cryptAlgorithmClass="hash" w:cryptAlgorithmType="typeAny" w:cryptAlgorithmSid="4" w:cryptSpinCount="100000" w:hash="rPRs9KonFrY57xWCH2gGhXlOHCM=" w:salt="gUvq3aUU7o8O+IgdJZrmP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61"/>
    <w:rsid w:val="000122D7"/>
    <w:rsid w:val="00012FC7"/>
    <w:rsid w:val="0003322B"/>
    <w:rsid w:val="00055DFC"/>
    <w:rsid w:val="00083EC3"/>
    <w:rsid w:val="00136D6A"/>
    <w:rsid w:val="00192AF5"/>
    <w:rsid w:val="00207718"/>
    <w:rsid w:val="00230BA4"/>
    <w:rsid w:val="002378C1"/>
    <w:rsid w:val="00282D01"/>
    <w:rsid w:val="002E4331"/>
    <w:rsid w:val="00310CE3"/>
    <w:rsid w:val="00316940"/>
    <w:rsid w:val="0032564E"/>
    <w:rsid w:val="00366C96"/>
    <w:rsid w:val="003854BC"/>
    <w:rsid w:val="003A722D"/>
    <w:rsid w:val="003D37E2"/>
    <w:rsid w:val="003D6961"/>
    <w:rsid w:val="004158B5"/>
    <w:rsid w:val="004465BA"/>
    <w:rsid w:val="00453B33"/>
    <w:rsid w:val="004606FC"/>
    <w:rsid w:val="004A5C97"/>
    <w:rsid w:val="004B2D31"/>
    <w:rsid w:val="00516A5D"/>
    <w:rsid w:val="00550291"/>
    <w:rsid w:val="005761DD"/>
    <w:rsid w:val="00597FF4"/>
    <w:rsid w:val="005B141B"/>
    <w:rsid w:val="005C0FB9"/>
    <w:rsid w:val="005C438A"/>
    <w:rsid w:val="005E5859"/>
    <w:rsid w:val="006B6503"/>
    <w:rsid w:val="006C42FC"/>
    <w:rsid w:val="006E07E3"/>
    <w:rsid w:val="007053A3"/>
    <w:rsid w:val="0073134D"/>
    <w:rsid w:val="007425C2"/>
    <w:rsid w:val="007B0D47"/>
    <w:rsid w:val="0080267A"/>
    <w:rsid w:val="00810AF9"/>
    <w:rsid w:val="0081643F"/>
    <w:rsid w:val="00842B87"/>
    <w:rsid w:val="00854E7C"/>
    <w:rsid w:val="00871A78"/>
    <w:rsid w:val="0087329A"/>
    <w:rsid w:val="00897EBB"/>
    <w:rsid w:val="008F436F"/>
    <w:rsid w:val="0091086B"/>
    <w:rsid w:val="009721A9"/>
    <w:rsid w:val="009852D3"/>
    <w:rsid w:val="00992690"/>
    <w:rsid w:val="009D0A9D"/>
    <w:rsid w:val="00A13BF2"/>
    <w:rsid w:val="00A366EC"/>
    <w:rsid w:val="00A66C93"/>
    <w:rsid w:val="00AD119A"/>
    <w:rsid w:val="00B70B79"/>
    <w:rsid w:val="00B7247A"/>
    <w:rsid w:val="00B756D0"/>
    <w:rsid w:val="00B90D13"/>
    <w:rsid w:val="00B90FD0"/>
    <w:rsid w:val="00B92AA9"/>
    <w:rsid w:val="00BA147B"/>
    <w:rsid w:val="00BF0362"/>
    <w:rsid w:val="00C52992"/>
    <w:rsid w:val="00C74385"/>
    <w:rsid w:val="00C9079C"/>
    <w:rsid w:val="00CB303E"/>
    <w:rsid w:val="00CB39DA"/>
    <w:rsid w:val="00CC7FA9"/>
    <w:rsid w:val="00CD5EBB"/>
    <w:rsid w:val="00CF0EBE"/>
    <w:rsid w:val="00D00608"/>
    <w:rsid w:val="00DE625D"/>
    <w:rsid w:val="00E02A40"/>
    <w:rsid w:val="00E21A92"/>
    <w:rsid w:val="00E2511E"/>
    <w:rsid w:val="00E33011"/>
    <w:rsid w:val="00E72094"/>
    <w:rsid w:val="00E90103"/>
    <w:rsid w:val="00EA264B"/>
    <w:rsid w:val="00EC09D9"/>
    <w:rsid w:val="00EE4C3B"/>
    <w:rsid w:val="00F3086F"/>
    <w:rsid w:val="00FA6D72"/>
    <w:rsid w:val="00FD1D28"/>
    <w:rsid w:val="00FD5606"/>
    <w:rsid w:val="6A400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nhideWhenUs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2"/>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fontstyle01"/>
    <w:basedOn w:val="8"/>
    <w:qFormat/>
    <w:uiPriority w:val="0"/>
    <w:rPr>
      <w:rFonts w:hint="eastAsia" w:ascii="楷体_GB2312" w:eastAsia="楷体_GB2312"/>
      <w:color w:val="000000"/>
      <w:sz w:val="32"/>
      <w:szCs w:val="32"/>
    </w:rPr>
  </w:style>
  <w:style w:type="character" w:customStyle="1" w:styleId="14">
    <w:name w:val="fontstyle2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3</Pages>
  <Words>597</Words>
  <Characters>3407</Characters>
  <Lines>28</Lines>
  <Paragraphs>7</Paragraphs>
  <TotalTime>1</TotalTime>
  <ScaleCrop>false</ScaleCrop>
  <LinksUpToDate>false</LinksUpToDate>
  <CharactersWithSpaces>3997</CharactersWithSpaces>
  <Application>WPS Office_11.1.0.10700_F1E327BC-269C-435d-A152-05C5408002CA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2019-04-22T01:00:00Z</dcterms:created>
  <dc:creator>User</dc:creator>
  <cp:lastModifiedBy>louchunhui</cp:lastModifiedBy>
  <cp:lastPrinted>2019-03-12T00:16:00Z</cp:lastPrinted>
  <dcterms:modified xsi:type="dcterms:W3CDTF">2021-09-06T06:14:43Z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CCBB2A044C664E89BABD56AC3903CCEB</vt:lpwstr>
  </property>
</Properties>
</file>