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Calibri Light" w:hAnsi="Calibri Light" w:eastAsia="黑体" w:cs="Times New Roman"/>
          <w:b/>
          <w:color w:val="000000" w:themeColor="text1"/>
          <w:sz w:val="24"/>
          <w:szCs w:val="20"/>
          <w14:textFill>
            <w14:solidFill>
              <w14:schemeClr w14:val="tx1"/>
            </w14:solidFill>
          </w14:textFill>
        </w:rPr>
      </w:pPr>
      <w:r>
        <w:rPr>
          <w:rFonts w:ascii="Calibri Light" w:hAnsi="Calibri Light" w:eastAsia="黑体" w:cs="Times New Roman"/>
          <w:b/>
          <w:color w:val="000000" w:themeColor="text1"/>
          <w:sz w:val="24"/>
          <w:szCs w:val="20"/>
          <w14:textFill>
            <w14:solidFill>
              <w14:schemeClr w14:val="tx1"/>
            </w14:solidFill>
          </w14:textFill>
        </w:rPr>
        <w:t>柴油的理化及危险特性表</w:t>
      </w:r>
    </w:p>
    <w:tbl>
      <w:tblPr>
        <w:tblStyle w:val="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8"/>
        <w:gridCol w:w="3778"/>
        <w:gridCol w:w="3"/>
        <w:gridCol w:w="1724"/>
        <w:gridCol w:w="23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标</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识</w:t>
            </w: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中文名：柴油</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英文名</w:t>
            </w:r>
            <w:r>
              <w:rPr>
                <w:rFonts w:hint="eastAsia" w:asciiTheme="minorEastAsia" w:hAnsiTheme="minorEastAsia" w:eastAsiaTheme="minorEastAsia" w:cstheme="minorEastAsia"/>
                <w:color w:val="000000" w:themeColor="text1"/>
                <w:sz w:val="18"/>
                <w:szCs w:val="18"/>
                <w:lang w:val="en-GB"/>
                <w14:textFill>
                  <w14:solidFill>
                    <w14:schemeClr w14:val="tx1"/>
                  </w14:solidFill>
                </w14:textFill>
              </w:rPr>
              <w:t>：</w:t>
            </w:r>
            <w:r>
              <w:rPr>
                <w:rFonts w:hint="eastAsia" w:asciiTheme="minorEastAsia" w:hAnsiTheme="minorEastAsia" w:eastAsiaTheme="minorEastAsia" w:cstheme="minorEastAsia"/>
                <w:color w:val="000000" w:themeColor="text1"/>
                <w:sz w:val="18"/>
                <w:szCs w:val="18"/>
                <w14:textFill>
                  <w14:solidFill>
                    <w14:schemeClr w14:val="tx1"/>
                  </w14:solidFill>
                </w14:textFill>
              </w:rPr>
              <w:t>Diesel oil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分子式</w:t>
            </w:r>
            <w:r>
              <w:rPr>
                <w:rFonts w:hint="eastAsia" w:asciiTheme="minorEastAsia" w:hAnsiTheme="minorEastAsia" w:eastAsiaTheme="minorEastAsia" w:cstheme="minorEastAsia"/>
                <w:color w:val="000000" w:themeColor="text1"/>
                <w:sz w:val="18"/>
                <w:szCs w:val="18"/>
                <w:lang w:val="en-GB"/>
                <w14:textFill>
                  <w14:solidFill>
                    <w14:schemeClr w14:val="tx1"/>
                  </w14:solidFill>
                </w14:textFill>
              </w:rPr>
              <w:t>：-</w:t>
            </w:r>
          </w:p>
        </w:tc>
        <w:tc>
          <w:tcPr>
            <w:tcW w:w="101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分子量：-</w:t>
            </w:r>
          </w:p>
        </w:tc>
        <w:tc>
          <w:tcPr>
            <w:tcW w:w="14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UN编号：1202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8"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CAS号：68334-30-5</w:t>
            </w:r>
          </w:p>
        </w:tc>
        <w:tc>
          <w:tcPr>
            <w:tcW w:w="2417"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危险化学品目录编号：1674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理</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化</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性</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质</w:t>
            </w:r>
          </w:p>
        </w:tc>
        <w:tc>
          <w:tcPr>
            <w:tcW w:w="463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pacing w:val="-6"/>
                <w:sz w:val="18"/>
                <w:szCs w:val="18"/>
                <w14:textFill>
                  <w14:solidFill>
                    <w14:schemeClr w14:val="tx1"/>
                  </w14:solidFill>
                </w14:textFill>
              </w:rPr>
              <w:t>性状：</w:t>
            </w:r>
            <w:r>
              <w:rPr>
                <w:rFonts w:hint="eastAsia" w:asciiTheme="minorEastAsia" w:hAnsiTheme="minorEastAsia" w:eastAsiaTheme="minorEastAsia" w:cstheme="minorEastAsia"/>
                <w:color w:val="000000" w:themeColor="text1"/>
                <w:sz w:val="18"/>
                <w:szCs w:val="18"/>
                <w14:textFill>
                  <w14:solidFill>
                    <w14:schemeClr w14:val="tx1"/>
                  </w14:solidFill>
                </w14:textFill>
              </w:rPr>
              <w:t>稍有粘性的棕色液体。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熔点/℃：-18</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溶解性：无资料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沸点/℃： 282-338</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相对密度（水＝1）： 0.8</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5</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饱和蒸气压/kPa ：无资料</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相对密度（空气＝1）：无资料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临界温度/℃：无资料</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燃烧热（kJ.kg</w:t>
            </w:r>
            <w:r>
              <w:rPr>
                <w:rFonts w:hint="eastAsia" w:asciiTheme="minorEastAsia" w:hAnsiTheme="minorEastAsia" w:eastAsiaTheme="minorEastAsia" w:cstheme="minorEastAsia"/>
                <w:color w:val="000000" w:themeColor="text1"/>
                <w:sz w:val="18"/>
                <w:szCs w:val="18"/>
                <w:vertAlign w:val="superscript"/>
                <w14:textFill>
                  <w14:solidFill>
                    <w14:schemeClr w14:val="tx1"/>
                  </w14:solidFill>
                </w14:textFill>
              </w:rPr>
              <w:t>-1</w:t>
            </w:r>
            <w:r>
              <w:rPr>
                <w:rFonts w:hint="eastAsia" w:asciiTheme="minorEastAsia" w:hAnsiTheme="minorEastAsia" w:eastAsiaTheme="minorEastAsia" w:cstheme="minorEastAsia"/>
                <w:color w:val="000000" w:themeColor="text1"/>
                <w:sz w:val="18"/>
                <w:szCs w:val="18"/>
                <w14:textFill>
                  <w14:solidFill>
                    <w14:schemeClr w14:val="tx1"/>
                  </w14:solidFill>
                </w14:textFill>
              </w:rPr>
              <w:t>）：4.3×10</w:t>
            </w:r>
            <w:r>
              <w:rPr>
                <w:rFonts w:hint="eastAsia" w:asciiTheme="minorEastAsia" w:hAnsiTheme="minorEastAsia" w:eastAsiaTheme="minorEastAsia" w:cstheme="minorEastAsia"/>
                <w:color w:val="000000" w:themeColor="text1"/>
                <w:sz w:val="18"/>
                <w:szCs w:val="18"/>
                <w:vertAlign w:val="superscript"/>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临界压力/MPa：无资料</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最小引燃能量/mJ：无资料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燃</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烧</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爆</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炸</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危</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险</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性</w:t>
            </w: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燃烧性：易燃</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燃烧分解产物： CO、CO</w:t>
            </w:r>
            <w:r>
              <w:rPr>
                <w:rFonts w:hint="eastAsia" w:asciiTheme="minorEastAsia" w:hAnsiTheme="minorEastAsia" w:eastAsiaTheme="minorEastAsia" w:cstheme="minorEastAsia"/>
                <w:color w:val="000000" w:themeColor="text1"/>
                <w:sz w:val="18"/>
                <w:szCs w:val="18"/>
                <w:vertAlign w:val="sub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闪点/℃：＞60</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聚合危害：不聚合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爆炸极限（体积分数）/% ：1.5-6.0</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稳定性：稳定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221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自然温度/℃： 257</w:t>
            </w:r>
          </w:p>
        </w:tc>
        <w:tc>
          <w:tcPr>
            <w:tcW w:w="2419" w:type="pct"/>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禁忌物：强氧化剂、卤素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63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危险特性：遇明火、高热或与氧化剂接触，有引起燃烧爆炸的危险。若遇高热，容器内压增大，有开裂和爆炸的危险。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63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毒</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性</w:t>
            </w:r>
          </w:p>
        </w:tc>
        <w:tc>
          <w:tcPr>
            <w:tcW w:w="463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LD</w:t>
            </w:r>
            <w:r>
              <w:rPr>
                <w:rFonts w:hint="eastAsia" w:asciiTheme="minorEastAsia" w:hAnsiTheme="minorEastAsia" w:eastAsiaTheme="minorEastAsia" w:cstheme="minorEastAsia"/>
                <w:color w:val="000000" w:themeColor="text1"/>
                <w:sz w:val="18"/>
                <w:szCs w:val="18"/>
                <w:vertAlign w:val="subscript"/>
                <w14:textFill>
                  <w14:solidFill>
                    <w14:schemeClr w14:val="tx1"/>
                  </w14:solidFill>
                </w14:textFill>
              </w:rPr>
              <w:t>50</w:t>
            </w:r>
            <w:r>
              <w:rPr>
                <w:rFonts w:hint="eastAsia" w:asciiTheme="minorEastAsia" w:hAnsiTheme="minorEastAsia" w:eastAsiaTheme="minorEastAsia" w:cstheme="minorEastAsia"/>
                <w:color w:val="000000" w:themeColor="text1"/>
                <w:sz w:val="18"/>
                <w:szCs w:val="18"/>
                <w14:textFill>
                  <w14:solidFill>
                    <w14:schemeClr w14:val="tx1"/>
                  </w14:solidFill>
                </w14:textFill>
              </w:rPr>
              <w:t>：无资料</w:t>
            </w:r>
          </w:p>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LC</w:t>
            </w:r>
            <w:r>
              <w:rPr>
                <w:rFonts w:hint="eastAsia" w:asciiTheme="minorEastAsia" w:hAnsiTheme="minorEastAsia" w:eastAsiaTheme="minorEastAsia" w:cstheme="minorEastAsia"/>
                <w:color w:val="000000" w:themeColor="text1"/>
                <w:sz w:val="18"/>
                <w:szCs w:val="18"/>
                <w:vertAlign w:val="subscript"/>
                <w14:textFill>
                  <w14:solidFill>
                    <w14:schemeClr w14:val="tx1"/>
                  </w14:solidFill>
                </w14:textFill>
              </w:rPr>
              <w:t>50</w:t>
            </w:r>
            <w:r>
              <w:rPr>
                <w:rFonts w:hint="eastAsia" w:asciiTheme="minorEastAsia" w:hAnsiTheme="minorEastAsia" w:eastAsiaTheme="minorEastAsia" w:cstheme="minorEastAsia"/>
                <w:color w:val="000000" w:themeColor="text1"/>
                <w:sz w:val="18"/>
                <w:szCs w:val="18"/>
                <w14:textFill>
                  <w14:solidFill>
                    <w14:schemeClr w14:val="tx1"/>
                  </w14:solidFill>
                </w14:textFill>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对人</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体危</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害</w:t>
            </w:r>
          </w:p>
        </w:tc>
        <w:tc>
          <w:tcPr>
            <w:tcW w:w="463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皮肤接触可为主要吸收途径，可致急性肾脏损害。柴油可引起接触性皮炎、油性痤疮。吸入其雾滴或液体呛入可引起吸入性肺炎。能经胎盘进入胎儿血中。柴油废气可引起眼、鼻刺激症状，头晕及头痛。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急</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救</w:t>
            </w:r>
          </w:p>
        </w:tc>
        <w:tc>
          <w:tcPr>
            <w:tcW w:w="463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皮肤接触：立即脱去污染的衣着，用肥皂水和清水彻底冲洗皮肤。就医。眼睛接触：提起眼睑，用流动清水或生理盐水冲洗。就医。吸入：迅速脱离现场至空气新鲜处。保持呼吸道通畅。如呼吸困难，给输氧。如呼吸停止，立即进行人工呼吸。就医。食入：尽快彻底洗胃。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防</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护</w:t>
            </w:r>
          </w:p>
        </w:tc>
        <w:tc>
          <w:tcPr>
            <w:tcW w:w="463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工程控制密闭操作，注意通风。呼吸系统防护空气中浓度超标时，建议佩戴自吸过滤式防毒面具（半面罩）。紧急事态抢救或撤离时，应该佩戴空气呼吸器。眼睛防护戴化学安全防护眼镜。身体防护穿一般作业防护服。手防护戴橡胶耐油手套。其他工作现场严禁吸烟。避免长期反复接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泄漏</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处理</w:t>
            </w:r>
          </w:p>
        </w:tc>
        <w:tc>
          <w:tcPr>
            <w:tcW w:w="463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迅速撤离泄漏污染区人员至安全区，并进行隔离，严格限制出入。切断火源。建议应急处理人员戴自给正压式呼吸器，穿一般作业工作服。尽可能切断泄漏源。防止流入下水道、排洪沟等限制性空间。小量泄漏：用活性炭或其它惰性材料吸收。大量泄漏：构筑围堤或挖坑收容。用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2"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储</w:t>
            </w:r>
          </w:p>
          <w:p>
            <w:pPr>
              <w:spacing w:line="240" w:lineRule="auto"/>
              <w:ind w:firstLine="0" w:firstLineChars="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运</w:t>
            </w:r>
          </w:p>
        </w:tc>
        <w:tc>
          <w:tcPr>
            <w:tcW w:w="4636" w:type="pct"/>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储存于阴凉、通风的库房。远离火种、热源。应与氧化剂、卤素分开存放，切忌混储。采用防爆型照明、通风设施。禁止使用易产生火花的机械设备和工具。储区应备有泄漏应急处理设备和合适的收容材料。</w:t>
            </w:r>
          </w:p>
          <w:p>
            <w:pPr>
              <w:spacing w:line="240" w:lineRule="auto"/>
              <w:ind w:firstLine="0" w:firstLineChars="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化剂、卤素、食用化学品等混装混运。运输途中应防曝晒、雨淋，防高温。中途停留时应远离火种、热源、高温区。装运该物品的车辆排气管必须配备阻火装置，禁止使用易产生火花的机械设备和工具装卸。运输车船必须彻底清洗、消毒，否则不得装运其它物品。船运时，配装位置应远离卧室、厨房，并与机舱、电源、火源等部位隔离。公路运输时要按规定路线行驶。 </w:t>
            </w:r>
          </w:p>
        </w:tc>
      </w:tr>
    </w:tbl>
    <w:p>
      <w:pPr>
        <w:ind w:left="0" w:leftChars="0" w:firstLine="0" w:firstLineChars="0"/>
      </w:pPr>
    </w:p>
    <w:sectPr>
      <w:pgSz w:w="11906" w:h="16838"/>
      <w:pgMar w:top="1100" w:right="1800" w:bottom="110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libri Light">
    <w:altName w:val="Segoe Print"/>
    <w:panose1 w:val="020F030202020403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MTlkMGEwNWE4ZjI0ZGY3MGRmMjlkMTBiYTJhMmEifQ=="/>
  </w:docVars>
  <w:rsids>
    <w:rsidRoot w:val="30CE676A"/>
    <w:rsid w:val="269E0A48"/>
    <w:rsid w:val="30CE676A"/>
    <w:rsid w:val="5FEF25D2"/>
    <w:rsid w:val="785B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1308</Words>
  <Characters>1385</Characters>
  <Lines>0</Lines>
  <Paragraphs>0</Paragraphs>
  <TotalTime>2</TotalTime>
  <ScaleCrop>false</ScaleCrop>
  <LinksUpToDate>false</LinksUpToDate>
  <CharactersWithSpaces>1395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2022-11-08T00:36:00Z</dcterms:created>
  <dc:creator>louchunhui</dc:creator>
  <cp:lastModifiedBy>louchunhui</cp:lastModifiedBy>
  <dcterms:modified xsi:type="dcterms:W3CDTF">2023-04-06T00:51:47Z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D45CFF3FA591414CB0639AACC3EC5B5F</vt:lpwstr>
  </property>
</Properties>
</file>